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6A8E" w:rsidRPr="00BA3806" w:rsidRDefault="008C192B" w:rsidP="00541369">
      <w:pPr>
        <w:pStyle w:val="Pa1"/>
        <w:ind w:right="-567"/>
        <w:rPr>
          <w:rFonts w:asciiTheme="minorHAnsi" w:hAnsiTheme="minorHAnsi" w:cs="Stone Sans II ITC Std"/>
          <w:b/>
          <w:bCs/>
          <w:color w:val="221E1F"/>
          <w:sz w:val="20"/>
          <w:szCs w:val="20"/>
          <w:lang w:val="de-CH"/>
        </w:rPr>
      </w:pPr>
      <w:r w:rsidRPr="0067544A">
        <w:rPr>
          <w:rFonts w:asciiTheme="minorHAnsi" w:hAnsiTheme="minorHAnsi" w:cs="Stone Sans II ITC Std"/>
          <w:b/>
          <w:bCs/>
          <w:noProof/>
          <w:color w:val="221E1F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9C3C9" wp14:editId="1808E058">
                <wp:simplePos x="0" y="0"/>
                <wp:positionH relativeFrom="column">
                  <wp:posOffset>-82235</wp:posOffset>
                </wp:positionH>
                <wp:positionV relativeFrom="paragraph">
                  <wp:posOffset>24081</wp:posOffset>
                </wp:positionV>
                <wp:extent cx="0" cy="599893"/>
                <wp:effectExtent l="76200" t="19050" r="76200" b="673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8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D47DD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1.9pt" to="-6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BA3806" w:rsidRPr="00BA3806">
        <w:rPr>
          <w:rFonts w:asciiTheme="minorHAnsi" w:hAnsiTheme="minorHAnsi" w:cs="Stone Sans II ITC Std"/>
          <w:b/>
          <w:bCs/>
          <w:noProof/>
          <w:color w:val="221E1F"/>
          <w:sz w:val="20"/>
          <w:szCs w:val="20"/>
          <w:lang w:val="de-CH" w:eastAsia="fr-CH"/>
        </w:rPr>
        <w:t>Inhalt der</w:t>
      </w:r>
      <w:r w:rsidRPr="00BA3806">
        <w:rPr>
          <w:rFonts w:asciiTheme="minorHAnsi" w:hAnsiTheme="minorHAnsi" w:cs="Stone Sans II ITC Std"/>
          <w:b/>
          <w:bCs/>
          <w:color w:val="221E1F"/>
          <w:sz w:val="20"/>
          <w:szCs w:val="20"/>
          <w:lang w:val="de-CH"/>
        </w:rPr>
        <w:t xml:space="preserve"> </w:t>
      </w:r>
      <w:r w:rsidR="000300D2" w:rsidRPr="00BA3806">
        <w:rPr>
          <w:rFonts w:asciiTheme="minorHAnsi" w:hAnsiTheme="minorHAnsi" w:cs="Stone Sans II ITC Std"/>
          <w:b/>
          <w:bCs/>
          <w:color w:val="221E1F"/>
          <w:sz w:val="20"/>
          <w:szCs w:val="20"/>
          <w:lang w:val="de-CH"/>
        </w:rPr>
        <w:t>« </w:t>
      </w:r>
      <w:proofErr w:type="spellStart"/>
      <w:r w:rsidR="006E3282" w:rsidRPr="00BA3806">
        <w:rPr>
          <w:rFonts w:asciiTheme="minorHAnsi" w:hAnsiTheme="minorHAnsi" w:cs="Stone Sans II ITC Std"/>
          <w:b/>
          <w:bCs/>
          <w:color w:val="221E1F"/>
          <w:sz w:val="20"/>
          <w:szCs w:val="20"/>
          <w:lang w:val="de-CH"/>
        </w:rPr>
        <w:t>info</w:t>
      </w:r>
      <w:proofErr w:type="spellEnd"/>
      <w:r w:rsidR="006E3282" w:rsidRPr="00BA3806">
        <w:rPr>
          <w:rFonts w:asciiTheme="minorHAnsi" w:hAnsiTheme="minorHAnsi" w:cs="Stone Sans II ITC Std"/>
          <w:b/>
          <w:bCs/>
          <w:color w:val="221E1F"/>
          <w:sz w:val="20"/>
          <w:szCs w:val="20"/>
          <w:lang w:val="de-CH"/>
        </w:rPr>
        <w:t xml:space="preserve"> </w:t>
      </w:r>
      <w:r w:rsidRPr="00BA3806">
        <w:rPr>
          <w:rFonts w:asciiTheme="minorHAnsi" w:hAnsiTheme="minorHAnsi" w:cs="Stone Sans II ITC Std"/>
          <w:b/>
          <w:bCs/>
          <w:color w:val="221E1F"/>
          <w:sz w:val="20"/>
          <w:szCs w:val="20"/>
          <w:lang w:val="de-CH"/>
        </w:rPr>
        <w:t>CCIH</w:t>
      </w:r>
      <w:r w:rsidR="000300D2" w:rsidRPr="00BA3806">
        <w:rPr>
          <w:rFonts w:asciiTheme="minorHAnsi" w:hAnsiTheme="minorHAnsi" w:cs="Stone Sans II ITC Std"/>
          <w:b/>
          <w:bCs/>
          <w:color w:val="221E1F"/>
          <w:sz w:val="20"/>
          <w:szCs w:val="20"/>
          <w:lang w:val="de-CH"/>
        </w:rPr>
        <w:t> »</w:t>
      </w:r>
    </w:p>
    <w:p w:rsidR="00CF6A8E" w:rsidRPr="00BA3806" w:rsidRDefault="008A3119" w:rsidP="00860BB1">
      <w:pPr>
        <w:pStyle w:val="Default"/>
        <w:ind w:right="-567"/>
        <w:rPr>
          <w:rFonts w:asciiTheme="minorHAnsi" w:hAnsiTheme="minorHAnsi"/>
          <w:sz w:val="16"/>
          <w:szCs w:val="16"/>
          <w:lang w:val="de-CH"/>
        </w:rPr>
      </w:pPr>
      <w:r w:rsidRPr="00BA3806">
        <w:rPr>
          <w:rFonts w:asciiTheme="minorHAnsi" w:hAnsiTheme="minorHAnsi"/>
          <w:sz w:val="16"/>
          <w:szCs w:val="16"/>
          <w:lang w:val="de-CH"/>
        </w:rPr>
        <w:t xml:space="preserve"> </w:t>
      </w:r>
      <w:r w:rsidR="00BA3806" w:rsidRPr="00BA3806">
        <w:rPr>
          <w:rFonts w:asciiTheme="minorHAnsi" w:hAnsiTheme="minorHAnsi"/>
          <w:sz w:val="16"/>
          <w:szCs w:val="16"/>
          <w:lang w:val="de-CH"/>
        </w:rPr>
        <w:t>In Kürze</w:t>
      </w:r>
      <w:r w:rsidRPr="00BA3806">
        <w:rPr>
          <w:rFonts w:asciiTheme="minorHAnsi" w:hAnsiTheme="minorHAnsi"/>
          <w:sz w:val="16"/>
          <w:szCs w:val="16"/>
          <w:lang w:val="de-CH"/>
        </w:rPr>
        <w:t>…</w:t>
      </w:r>
    </w:p>
    <w:p w:rsidR="008A3119" w:rsidRPr="00611D03" w:rsidRDefault="008A3119" w:rsidP="00860BB1">
      <w:pPr>
        <w:pStyle w:val="Default"/>
        <w:ind w:right="-567"/>
        <w:rPr>
          <w:rFonts w:asciiTheme="minorHAnsi" w:hAnsiTheme="minorHAnsi"/>
          <w:sz w:val="16"/>
          <w:szCs w:val="16"/>
          <w:lang w:val="de-CH"/>
        </w:rPr>
      </w:pPr>
      <w:r w:rsidRPr="00BA3806">
        <w:rPr>
          <w:rFonts w:asciiTheme="minorHAnsi" w:hAnsiTheme="minorHAnsi"/>
          <w:sz w:val="16"/>
          <w:szCs w:val="16"/>
          <w:lang w:val="de-CH"/>
        </w:rPr>
        <w:t xml:space="preserve"> </w:t>
      </w:r>
      <w:r w:rsidR="00BA3806" w:rsidRPr="00611D03">
        <w:rPr>
          <w:rFonts w:asciiTheme="minorHAnsi" w:hAnsiTheme="minorHAnsi"/>
          <w:sz w:val="16"/>
          <w:szCs w:val="16"/>
          <w:lang w:val="de-CH"/>
        </w:rPr>
        <w:t>Präzisierungen</w:t>
      </w:r>
    </w:p>
    <w:p w:rsidR="00084F78" w:rsidRPr="00611D03" w:rsidRDefault="00084F78" w:rsidP="00084F78">
      <w:pPr>
        <w:pStyle w:val="Pa1"/>
        <w:spacing w:before="240" w:line="240" w:lineRule="auto"/>
        <w:ind w:right="-567"/>
        <w:jc w:val="both"/>
        <w:rPr>
          <w:rFonts w:asciiTheme="minorHAnsi" w:hAnsiTheme="minorHAnsi" w:cs="Stone Sans II ITC Std"/>
          <w:b/>
          <w:bCs/>
          <w:color w:val="943634" w:themeColor="accent2" w:themeShade="BF"/>
          <w:sz w:val="44"/>
          <w:szCs w:val="44"/>
          <w:lang w:val="de-CH"/>
        </w:rPr>
      </w:pPr>
      <w:r w:rsidRPr="00611D03">
        <w:rPr>
          <w:rFonts w:asciiTheme="minorHAnsi" w:hAnsiTheme="minorHAnsi" w:cs="Stone Sans II ITC Std"/>
          <w:b/>
          <w:bCs/>
          <w:color w:val="943634" w:themeColor="accent2" w:themeShade="BF"/>
          <w:sz w:val="44"/>
          <w:szCs w:val="44"/>
          <w:lang w:val="de-CH"/>
        </w:rPr>
        <w:t>COVID-</w:t>
      </w:r>
      <w:proofErr w:type="gramStart"/>
      <w:r w:rsidRPr="00611D03">
        <w:rPr>
          <w:rFonts w:asciiTheme="minorHAnsi" w:hAnsiTheme="minorHAnsi" w:cs="Stone Sans II ITC Std"/>
          <w:b/>
          <w:bCs/>
          <w:color w:val="943634" w:themeColor="accent2" w:themeShade="BF"/>
          <w:sz w:val="44"/>
          <w:szCs w:val="44"/>
          <w:lang w:val="de-CH"/>
        </w:rPr>
        <w:t>19 :</w:t>
      </w:r>
      <w:proofErr w:type="gramEnd"/>
    </w:p>
    <w:p w:rsidR="00860BB1" w:rsidRPr="00BA3806" w:rsidRDefault="00BA3806" w:rsidP="00084F78">
      <w:pPr>
        <w:pStyle w:val="Pa1"/>
        <w:ind w:right="-567"/>
        <w:jc w:val="both"/>
        <w:rPr>
          <w:rFonts w:asciiTheme="minorHAnsi" w:hAnsiTheme="minorHAnsi" w:cs="Stone Sans II ITC Std"/>
          <w:b/>
          <w:bCs/>
          <w:color w:val="943634" w:themeColor="accent2" w:themeShade="BF"/>
          <w:sz w:val="44"/>
          <w:szCs w:val="44"/>
          <w:lang w:val="de-CH"/>
        </w:rPr>
      </w:pPr>
      <w:r w:rsidRPr="00BA3806">
        <w:rPr>
          <w:rFonts w:asciiTheme="minorHAnsi" w:hAnsiTheme="minorHAnsi" w:cs="Stone Sans II ITC Std"/>
          <w:b/>
          <w:bCs/>
          <w:color w:val="943634" w:themeColor="accent2" w:themeShade="BF"/>
          <w:sz w:val="44"/>
          <w:szCs w:val="44"/>
          <w:lang w:val="de-CH"/>
        </w:rPr>
        <w:t>Erleichterungen beim Bezug der AHV-Beiträge</w:t>
      </w:r>
    </w:p>
    <w:p w:rsidR="00F7641A" w:rsidRPr="00B26CFE" w:rsidRDefault="00786635" w:rsidP="00860BB1">
      <w:pPr>
        <w:pStyle w:val="Pa1"/>
        <w:ind w:right="-567"/>
        <w:rPr>
          <w:rFonts w:asciiTheme="minorHAnsi" w:hAnsiTheme="minorHAnsi" w:cs="Stone Sans II ITC Std"/>
          <w:b/>
          <w:bCs/>
          <w:color w:val="221E1F"/>
          <w:sz w:val="36"/>
          <w:szCs w:val="36"/>
          <w:lang w:val="de-CH"/>
        </w:rPr>
      </w:pPr>
      <w:r>
        <w:rPr>
          <w:rFonts w:asciiTheme="minorHAnsi" w:hAnsiTheme="minorHAnsi" w:cs="Stone Sans II ITC Std"/>
          <w:b/>
          <w:bCs/>
          <w:color w:val="221E1F"/>
          <w:sz w:val="36"/>
          <w:szCs w:val="36"/>
          <w:lang w:val="de-CH"/>
        </w:rPr>
        <w:t>Umsetzungshilfe</w:t>
      </w:r>
      <w:r w:rsidR="00F96F07" w:rsidRPr="00B26CFE">
        <w:rPr>
          <w:rFonts w:asciiTheme="minorHAnsi" w:hAnsiTheme="minorHAnsi" w:cs="Stone Sans II ITC Std"/>
          <w:b/>
          <w:bCs/>
          <w:color w:val="221E1F"/>
          <w:sz w:val="36"/>
          <w:szCs w:val="36"/>
          <w:lang w:val="de-CH"/>
        </w:rPr>
        <w:t xml:space="preserve"> </w:t>
      </w:r>
      <w:r w:rsidR="001810A8">
        <w:rPr>
          <w:rFonts w:asciiTheme="minorHAnsi" w:hAnsiTheme="minorHAnsi" w:cs="Stone Sans II ITC Std"/>
          <w:b/>
          <w:bCs/>
          <w:color w:val="221E1F"/>
          <w:sz w:val="36"/>
          <w:szCs w:val="36"/>
          <w:lang w:val="de-CH"/>
        </w:rPr>
        <w:t>und</w:t>
      </w:r>
      <w:r w:rsidR="00F96F07" w:rsidRPr="00B26CFE">
        <w:rPr>
          <w:rFonts w:asciiTheme="minorHAnsi" w:hAnsiTheme="minorHAnsi" w:cs="Stone Sans II ITC Std"/>
          <w:b/>
          <w:bCs/>
          <w:color w:val="221E1F"/>
          <w:sz w:val="36"/>
          <w:szCs w:val="36"/>
          <w:lang w:val="de-CH"/>
        </w:rPr>
        <w:t xml:space="preserve"> </w:t>
      </w:r>
      <w:r w:rsidR="00B26CFE" w:rsidRPr="00B26CFE">
        <w:rPr>
          <w:rFonts w:asciiTheme="minorHAnsi" w:hAnsiTheme="minorHAnsi" w:cs="Stone Sans II ITC Std"/>
          <w:b/>
          <w:bCs/>
          <w:color w:val="221E1F"/>
          <w:sz w:val="36"/>
          <w:szCs w:val="36"/>
          <w:lang w:val="de-CH"/>
        </w:rPr>
        <w:t>E</w:t>
      </w:r>
      <w:r w:rsidR="00B26CFE">
        <w:rPr>
          <w:rFonts w:asciiTheme="minorHAnsi" w:hAnsiTheme="minorHAnsi" w:cs="Stone Sans II ITC Std"/>
          <w:b/>
          <w:bCs/>
          <w:color w:val="221E1F"/>
          <w:sz w:val="36"/>
          <w:szCs w:val="36"/>
          <w:lang w:val="de-CH"/>
        </w:rPr>
        <w:t>rklärungen</w:t>
      </w:r>
    </w:p>
    <w:p w:rsidR="00860BB1" w:rsidRPr="00B26CFE" w:rsidRDefault="00860BB1" w:rsidP="00860BB1">
      <w:pPr>
        <w:pStyle w:val="Default"/>
        <w:rPr>
          <w:rFonts w:asciiTheme="minorHAnsi" w:hAnsiTheme="minorHAnsi"/>
          <w:lang w:val="de-CH"/>
        </w:rPr>
      </w:pPr>
    </w:p>
    <w:p w:rsidR="0076419E" w:rsidRPr="00B26CFE" w:rsidRDefault="000753A6" w:rsidP="0076419E">
      <w:pPr>
        <w:pStyle w:val="Pa1"/>
        <w:ind w:right="-567"/>
        <w:jc w:val="both"/>
        <w:rPr>
          <w:rStyle w:val="A2"/>
          <w:rFonts w:asciiTheme="minorHAnsi" w:hAnsiTheme="minorHAnsi"/>
          <w:b/>
          <w:bCs/>
          <w:sz w:val="24"/>
          <w:szCs w:val="24"/>
          <w:lang w:val="de-CH"/>
        </w:rPr>
      </w:pPr>
      <w:r>
        <w:rPr>
          <w:rStyle w:val="A2"/>
          <w:rFonts w:asciiTheme="minorHAnsi" w:hAnsiTheme="minorHAnsi"/>
          <w:b/>
          <w:bCs/>
          <w:sz w:val="24"/>
          <w:szCs w:val="24"/>
          <w:lang w:val="de-CH"/>
        </w:rPr>
        <w:t>In Kürze</w:t>
      </w:r>
      <w:r w:rsidR="00624838" w:rsidRPr="00B26CFE">
        <w:rPr>
          <w:rStyle w:val="A2"/>
          <w:rFonts w:asciiTheme="minorHAnsi" w:hAnsiTheme="minorHAnsi"/>
          <w:b/>
          <w:bCs/>
          <w:sz w:val="24"/>
          <w:szCs w:val="24"/>
          <w:lang w:val="de-CH"/>
        </w:rPr>
        <w:t>…</w:t>
      </w:r>
    </w:p>
    <w:p w:rsidR="000753A6" w:rsidRPr="00611D03" w:rsidRDefault="000753A6" w:rsidP="008A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  <w:lang w:val="de-CH"/>
        </w:rPr>
      </w:pPr>
    </w:p>
    <w:p w:rsidR="008A1DE5" w:rsidRPr="008A1DE5" w:rsidRDefault="008A1DE5" w:rsidP="008A1DE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12"/>
          <w:szCs w:val="12"/>
          <w:lang w:val="de-CH"/>
        </w:rPr>
      </w:pPr>
      <w:r w:rsidRPr="008A1DE5">
        <w:rPr>
          <w:rFonts w:cstheme="minorHAnsi"/>
          <w:bCs/>
          <w:color w:val="000000"/>
          <w:sz w:val="19"/>
          <w:szCs w:val="19"/>
          <w:lang w:val="de-CH"/>
        </w:rPr>
        <w:t xml:space="preserve">Die Erleichterungen beim Bezug der AHV-Beiträge gelten gemäss Verordnung </w:t>
      </w:r>
      <w:r w:rsidR="00806832">
        <w:rPr>
          <w:rFonts w:cstheme="minorHAnsi"/>
          <w:bCs/>
          <w:color w:val="000000"/>
          <w:sz w:val="19"/>
          <w:szCs w:val="19"/>
          <w:lang w:val="de-CH"/>
        </w:rPr>
        <w:t xml:space="preserve">vom 20. März </w:t>
      </w:r>
      <w:r w:rsidR="00194561">
        <w:rPr>
          <w:rFonts w:cstheme="minorHAnsi"/>
          <w:bCs/>
          <w:color w:val="000000"/>
          <w:sz w:val="19"/>
          <w:szCs w:val="19"/>
          <w:lang w:val="de-CH"/>
        </w:rPr>
        <w:t>des Bu</w:t>
      </w:r>
      <w:r w:rsidR="00806832">
        <w:rPr>
          <w:rFonts w:cstheme="minorHAnsi"/>
          <w:bCs/>
          <w:color w:val="000000"/>
          <w:sz w:val="19"/>
          <w:szCs w:val="19"/>
          <w:lang w:val="de-CH"/>
        </w:rPr>
        <w:t>n</w:t>
      </w:r>
      <w:r w:rsidR="00194561">
        <w:rPr>
          <w:rFonts w:cstheme="minorHAnsi"/>
          <w:bCs/>
          <w:color w:val="000000"/>
          <w:sz w:val="19"/>
          <w:szCs w:val="19"/>
          <w:lang w:val="de-CH"/>
        </w:rPr>
        <w:t xml:space="preserve">desrates, </w:t>
      </w:r>
      <w:r w:rsidRPr="008A1DE5">
        <w:rPr>
          <w:rFonts w:cstheme="minorHAnsi"/>
          <w:bCs/>
          <w:color w:val="000000"/>
          <w:sz w:val="19"/>
          <w:szCs w:val="19"/>
          <w:lang w:val="de-CH"/>
        </w:rPr>
        <w:t xml:space="preserve">ab dem 21. März 2020 für 6 Monate. Danach sind alle darin enthaltenen Änderungen hinfällig. </w:t>
      </w:r>
    </w:p>
    <w:p w:rsidR="008A1DE5" w:rsidRPr="00C07965" w:rsidRDefault="008A1DE5" w:rsidP="008A1DE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12"/>
          <w:szCs w:val="12"/>
          <w:lang w:val="de-CH"/>
        </w:rPr>
      </w:pPr>
      <w:r>
        <w:rPr>
          <w:rFonts w:cstheme="minorHAnsi"/>
          <w:bCs/>
          <w:color w:val="000000"/>
          <w:sz w:val="19"/>
          <w:szCs w:val="19"/>
          <w:lang w:val="de-CH"/>
        </w:rPr>
        <w:t>Sämtliche AHV-Beiträge bleiben uneingeschränkt geschuldet. Nur das Mahn- und Betreibungsverfahren sowie d</w:t>
      </w:r>
      <w:r w:rsidR="009B2260">
        <w:rPr>
          <w:rFonts w:cstheme="minorHAnsi"/>
          <w:bCs/>
          <w:color w:val="000000"/>
          <w:sz w:val="19"/>
          <w:szCs w:val="19"/>
          <w:lang w:val="de-CH"/>
        </w:rPr>
        <w:t>i</w:t>
      </w:r>
      <w:r>
        <w:rPr>
          <w:rFonts w:cstheme="minorHAnsi"/>
          <w:bCs/>
          <w:color w:val="000000"/>
          <w:sz w:val="19"/>
          <w:szCs w:val="19"/>
          <w:lang w:val="de-CH"/>
        </w:rPr>
        <w:t>e Berechnung des Verzug</w:t>
      </w:r>
      <w:r w:rsidR="00611D03">
        <w:rPr>
          <w:rFonts w:cstheme="minorHAnsi"/>
          <w:bCs/>
          <w:color w:val="000000"/>
          <w:sz w:val="19"/>
          <w:szCs w:val="19"/>
          <w:lang w:val="de-CH"/>
        </w:rPr>
        <w:t>s</w:t>
      </w:r>
      <w:r>
        <w:rPr>
          <w:rFonts w:cstheme="minorHAnsi"/>
          <w:bCs/>
          <w:color w:val="000000"/>
          <w:sz w:val="19"/>
          <w:szCs w:val="19"/>
          <w:lang w:val="de-CH"/>
        </w:rPr>
        <w:t>zinses werden vorübergehend angepasst.</w:t>
      </w:r>
    </w:p>
    <w:p w:rsidR="00C07965" w:rsidRPr="008A1DE5" w:rsidRDefault="00C07965" w:rsidP="008A1DE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12"/>
          <w:szCs w:val="12"/>
          <w:lang w:val="de-CH"/>
        </w:rPr>
      </w:pPr>
      <w:r>
        <w:rPr>
          <w:rFonts w:cstheme="minorHAnsi"/>
          <w:bCs/>
          <w:color w:val="000000"/>
          <w:sz w:val="19"/>
          <w:szCs w:val="19"/>
          <w:lang w:val="de-CH"/>
        </w:rPr>
        <w:t xml:space="preserve">Im Rahmen der Erleichterungen beim Bezug der AHV-Beiträge und als ausserordentliche administrative Massnahme wird der </w:t>
      </w:r>
      <w:r w:rsidR="00EE6FD2">
        <w:rPr>
          <w:rFonts w:cstheme="minorHAnsi"/>
          <w:bCs/>
          <w:color w:val="000000"/>
          <w:sz w:val="19"/>
          <w:szCs w:val="19"/>
          <w:lang w:val="de-CH"/>
        </w:rPr>
        <w:t>Verzugszins ab dem 21. März von bisher 5% au</w:t>
      </w:r>
      <w:r w:rsidR="009B2260">
        <w:rPr>
          <w:rFonts w:cstheme="minorHAnsi"/>
          <w:bCs/>
          <w:color w:val="000000"/>
          <w:sz w:val="19"/>
          <w:szCs w:val="19"/>
          <w:lang w:val="de-CH"/>
        </w:rPr>
        <w:t>f</w:t>
      </w:r>
      <w:r w:rsidR="00EE6FD2">
        <w:rPr>
          <w:rFonts w:cstheme="minorHAnsi"/>
          <w:bCs/>
          <w:color w:val="000000"/>
          <w:sz w:val="19"/>
          <w:szCs w:val="19"/>
          <w:lang w:val="de-CH"/>
        </w:rPr>
        <w:t xml:space="preserve"> 0% gesenkt, für die kommenden 6 Monate. Danach gilt wieder der bisherige Zinssatz von 5%. </w:t>
      </w:r>
    </w:p>
    <w:p w:rsidR="00C41D05" w:rsidRPr="00611D03" w:rsidRDefault="00C41D05" w:rsidP="00E77E95">
      <w:pPr>
        <w:spacing w:after="0"/>
        <w:ind w:right="-567"/>
        <w:rPr>
          <w:rStyle w:val="A2"/>
          <w:b/>
          <w:sz w:val="24"/>
          <w:szCs w:val="24"/>
          <w:lang w:val="de-CH"/>
        </w:rPr>
      </w:pPr>
    </w:p>
    <w:p w:rsidR="00C41D05" w:rsidRPr="00387059" w:rsidRDefault="003F5811" w:rsidP="00E77E95">
      <w:pPr>
        <w:spacing w:after="0"/>
        <w:ind w:right="-567"/>
        <w:rPr>
          <w:rStyle w:val="A2"/>
          <w:b/>
          <w:sz w:val="24"/>
          <w:szCs w:val="24"/>
          <w:lang w:val="de-CH"/>
        </w:rPr>
      </w:pPr>
      <w:r w:rsidRPr="00387059">
        <w:rPr>
          <w:rStyle w:val="A2"/>
          <w:b/>
          <w:sz w:val="24"/>
          <w:szCs w:val="24"/>
          <w:lang w:val="de-CH"/>
        </w:rPr>
        <w:t>Pr</w:t>
      </w:r>
      <w:r w:rsidR="00611D03" w:rsidRPr="00387059">
        <w:rPr>
          <w:rStyle w:val="A2"/>
          <w:b/>
          <w:sz w:val="24"/>
          <w:szCs w:val="24"/>
          <w:lang w:val="de-CH"/>
        </w:rPr>
        <w:t>äzisierungen</w:t>
      </w:r>
    </w:p>
    <w:p w:rsidR="00B36A4D" w:rsidRPr="00387059" w:rsidRDefault="00B36A4D" w:rsidP="00E77E95">
      <w:pPr>
        <w:spacing w:after="0"/>
        <w:ind w:right="-567"/>
        <w:rPr>
          <w:rStyle w:val="A2"/>
          <w:b/>
          <w:sz w:val="12"/>
          <w:szCs w:val="12"/>
          <w:lang w:val="de-CH"/>
        </w:rPr>
      </w:pPr>
    </w:p>
    <w:p w:rsidR="00E77E95" w:rsidRPr="00387059" w:rsidRDefault="00786635" w:rsidP="00B36A4D">
      <w:pPr>
        <w:spacing w:after="120"/>
        <w:ind w:right="-567"/>
        <w:rPr>
          <w:rStyle w:val="A2"/>
          <w:color w:val="943634" w:themeColor="accent2" w:themeShade="BF"/>
          <w:sz w:val="22"/>
          <w:szCs w:val="22"/>
          <w:lang w:val="de-CH"/>
        </w:rPr>
      </w:pPr>
      <w:r w:rsidRPr="00387059">
        <w:rPr>
          <w:rStyle w:val="A2"/>
          <w:b/>
          <w:color w:val="943634" w:themeColor="accent2" w:themeShade="BF"/>
          <w:sz w:val="22"/>
          <w:szCs w:val="22"/>
          <w:lang w:val="de-CH"/>
        </w:rPr>
        <w:t>Zahlungsaufschub der Beiträge</w:t>
      </w:r>
    </w:p>
    <w:p w:rsidR="00CE5C74" w:rsidRPr="00387059" w:rsidRDefault="00387059" w:rsidP="00B36A4D">
      <w:pPr>
        <w:spacing w:after="60" w:line="240" w:lineRule="auto"/>
        <w:jc w:val="both"/>
        <w:rPr>
          <w:rStyle w:val="A2"/>
          <w:b/>
          <w:lang w:val="de-CH"/>
        </w:rPr>
      </w:pPr>
      <w:r w:rsidRPr="00387059">
        <w:rPr>
          <w:rStyle w:val="A2"/>
          <w:b/>
          <w:lang w:val="de-CH"/>
        </w:rPr>
        <w:t xml:space="preserve">Wie muss man vorgehen um einen Zahlungsaufschub der Beiträge zu </w:t>
      </w:r>
      <w:proofErr w:type="gramStart"/>
      <w:r w:rsidRPr="00387059">
        <w:rPr>
          <w:rStyle w:val="A2"/>
          <w:b/>
          <w:lang w:val="de-CH"/>
        </w:rPr>
        <w:t>erhalten</w:t>
      </w:r>
      <w:r w:rsidR="00CE5C74" w:rsidRPr="00387059">
        <w:rPr>
          <w:rStyle w:val="A2"/>
          <w:b/>
          <w:lang w:val="de-CH"/>
        </w:rPr>
        <w:t> ?</w:t>
      </w:r>
      <w:proofErr w:type="gramEnd"/>
    </w:p>
    <w:p w:rsidR="00D03818" w:rsidRDefault="00223AB7" w:rsidP="00D0381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Style w:val="A2"/>
          <w:lang w:val="de-CH"/>
        </w:rPr>
      </w:pPr>
      <w:r w:rsidRPr="00D03818">
        <w:rPr>
          <w:rStyle w:val="A2"/>
          <w:lang w:val="de-CH"/>
        </w:rPr>
        <w:t>Eine schriftliche Anfrage, per E-Mail, muss an Ihre Ausgleichskasse gerichtet werden. Das</w:t>
      </w:r>
      <w:r w:rsidR="00D03818" w:rsidRPr="00D03818">
        <w:rPr>
          <w:rStyle w:val="A2"/>
          <w:lang w:val="de-CH"/>
        </w:rPr>
        <w:t xml:space="preserve"> Gesuch muss begründet sein. Ebenfalls anzugeben sind die Periode(n) für welche Sie ein</w:t>
      </w:r>
      <w:r w:rsidR="00D03818">
        <w:rPr>
          <w:rStyle w:val="A2"/>
          <w:lang w:val="de-CH"/>
        </w:rPr>
        <w:t>en Zahlungsaufschub beantragen.</w:t>
      </w:r>
    </w:p>
    <w:p w:rsidR="006E34A3" w:rsidRPr="00D03818" w:rsidRDefault="00D03818" w:rsidP="00D0381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Style w:val="A2"/>
          <w:lang w:val="de-CH"/>
        </w:rPr>
      </w:pPr>
      <w:r w:rsidRPr="00D03818">
        <w:rPr>
          <w:rStyle w:val="A2"/>
          <w:lang w:val="de-CH"/>
        </w:rPr>
        <w:t>Ihre Ausgleichskasse beantwortet Ihre Anfrage ebenfalls per E-Mai</w:t>
      </w:r>
      <w:r w:rsidR="00457DC0">
        <w:rPr>
          <w:rStyle w:val="A2"/>
          <w:lang w:val="de-CH"/>
        </w:rPr>
        <w:t>l</w:t>
      </w:r>
      <w:r w:rsidRPr="00D03818">
        <w:rPr>
          <w:rStyle w:val="A2"/>
          <w:lang w:val="de-CH"/>
        </w:rPr>
        <w:t>.</w:t>
      </w:r>
    </w:p>
    <w:p w:rsidR="006E34A3" w:rsidRPr="00D03818" w:rsidRDefault="006E34A3" w:rsidP="00845726">
      <w:pPr>
        <w:spacing w:after="0" w:line="240" w:lineRule="auto"/>
        <w:jc w:val="both"/>
        <w:rPr>
          <w:rStyle w:val="A2"/>
          <w:sz w:val="16"/>
          <w:szCs w:val="16"/>
          <w:lang w:val="de-CH"/>
        </w:rPr>
      </w:pPr>
    </w:p>
    <w:p w:rsidR="00CE5C74" w:rsidRPr="0014411A" w:rsidRDefault="0014411A" w:rsidP="00B36A4D">
      <w:pPr>
        <w:spacing w:after="60" w:line="240" w:lineRule="auto"/>
        <w:jc w:val="both"/>
        <w:rPr>
          <w:rStyle w:val="A2"/>
          <w:b/>
          <w:lang w:val="de-CH"/>
        </w:rPr>
      </w:pPr>
      <w:r w:rsidRPr="00330D28">
        <w:rPr>
          <w:rStyle w:val="A2"/>
          <w:b/>
          <w:lang w:val="de-CH"/>
        </w:rPr>
        <w:t>B</w:t>
      </w:r>
      <w:r w:rsidRPr="0014411A">
        <w:rPr>
          <w:rStyle w:val="A2"/>
          <w:b/>
          <w:lang w:val="de-CH"/>
        </w:rPr>
        <w:t xml:space="preserve">is wann wird ein Zahlungsaufschub </w:t>
      </w:r>
      <w:proofErr w:type="gramStart"/>
      <w:r w:rsidRPr="0014411A">
        <w:rPr>
          <w:rStyle w:val="A2"/>
          <w:b/>
          <w:lang w:val="de-CH"/>
        </w:rPr>
        <w:t>bewilligt</w:t>
      </w:r>
      <w:r w:rsidR="00CE5C74" w:rsidRPr="0014411A">
        <w:rPr>
          <w:rStyle w:val="A2"/>
          <w:b/>
          <w:lang w:val="de-CH"/>
        </w:rPr>
        <w:t> ?</w:t>
      </w:r>
      <w:proofErr w:type="gramEnd"/>
    </w:p>
    <w:p w:rsidR="00CE5C74" w:rsidRPr="00457DC0" w:rsidRDefault="00330D28" w:rsidP="00845726">
      <w:pPr>
        <w:spacing w:after="0" w:line="240" w:lineRule="auto"/>
        <w:jc w:val="both"/>
        <w:rPr>
          <w:rStyle w:val="A2"/>
          <w:lang w:val="de-CH"/>
        </w:rPr>
      </w:pPr>
      <w:r w:rsidRPr="00330D28">
        <w:rPr>
          <w:rStyle w:val="A2"/>
          <w:lang w:val="de-CH"/>
        </w:rPr>
        <w:t>Zum heutigen Zeitpunkt wu</w:t>
      </w:r>
      <w:r>
        <w:rPr>
          <w:rStyle w:val="A2"/>
          <w:lang w:val="de-CH"/>
        </w:rPr>
        <w:t>rde de</w:t>
      </w:r>
      <w:r w:rsidR="00457DC0">
        <w:rPr>
          <w:rStyle w:val="A2"/>
          <w:lang w:val="de-CH"/>
        </w:rPr>
        <w:t>r</w:t>
      </w:r>
      <w:r>
        <w:rPr>
          <w:rStyle w:val="A2"/>
          <w:lang w:val="de-CH"/>
        </w:rPr>
        <w:t xml:space="preserve"> Zahlungsaufschub bis Ende Juni 2020 festgesetzt. </w:t>
      </w:r>
    </w:p>
    <w:p w:rsidR="00457DC0" w:rsidRPr="00457DC0" w:rsidRDefault="00457DC0" w:rsidP="00845726">
      <w:pPr>
        <w:spacing w:after="0" w:line="240" w:lineRule="auto"/>
        <w:jc w:val="both"/>
        <w:rPr>
          <w:rStyle w:val="A2"/>
          <w:sz w:val="16"/>
          <w:szCs w:val="16"/>
          <w:lang w:val="de-CH"/>
        </w:rPr>
      </w:pPr>
    </w:p>
    <w:p w:rsidR="00D61574" w:rsidRPr="00934F51" w:rsidRDefault="001810A8" w:rsidP="00B36A4D">
      <w:pPr>
        <w:spacing w:after="60" w:line="240" w:lineRule="auto"/>
        <w:jc w:val="both"/>
        <w:rPr>
          <w:rStyle w:val="A2"/>
          <w:b/>
          <w:lang w:val="de-CH"/>
        </w:rPr>
      </w:pPr>
      <w:r w:rsidRPr="00934F51">
        <w:rPr>
          <w:rStyle w:val="A2"/>
          <w:b/>
          <w:lang w:val="de-CH"/>
        </w:rPr>
        <w:t xml:space="preserve">Was passiert, wenn formell kein Zahlungsaufschub beantragt </w:t>
      </w:r>
      <w:proofErr w:type="gramStart"/>
      <w:r w:rsidRPr="00934F51">
        <w:rPr>
          <w:rStyle w:val="A2"/>
          <w:b/>
          <w:lang w:val="de-CH"/>
        </w:rPr>
        <w:t>wird ?</w:t>
      </w:r>
      <w:proofErr w:type="gramEnd"/>
    </w:p>
    <w:p w:rsidR="00D61574" w:rsidRPr="00952692" w:rsidRDefault="00952692" w:rsidP="00845726">
      <w:pPr>
        <w:spacing w:after="0" w:line="240" w:lineRule="auto"/>
        <w:jc w:val="both"/>
        <w:rPr>
          <w:rStyle w:val="A2"/>
          <w:lang w:val="de-CH"/>
        </w:rPr>
      </w:pPr>
      <w:r w:rsidRPr="00952692">
        <w:rPr>
          <w:rStyle w:val="A2"/>
          <w:lang w:val="de-CH"/>
        </w:rPr>
        <w:t xml:space="preserve">Sie erhalten im Juli, ohne Voranmeldung, eine Mahnung. </w:t>
      </w:r>
    </w:p>
    <w:p w:rsidR="00D61574" w:rsidRPr="00952692" w:rsidRDefault="00D61574" w:rsidP="00845726">
      <w:pPr>
        <w:spacing w:after="0" w:line="240" w:lineRule="auto"/>
        <w:jc w:val="both"/>
        <w:rPr>
          <w:rStyle w:val="A2"/>
          <w:sz w:val="16"/>
          <w:szCs w:val="16"/>
          <w:lang w:val="de-CH"/>
        </w:rPr>
      </w:pPr>
    </w:p>
    <w:p w:rsidR="00845726" w:rsidRPr="00390C7A" w:rsidRDefault="00390C7A" w:rsidP="00B36A4D">
      <w:pPr>
        <w:spacing w:after="60" w:line="240" w:lineRule="auto"/>
        <w:jc w:val="both"/>
        <w:rPr>
          <w:rStyle w:val="A2"/>
          <w:b/>
          <w:lang w:val="de-CH"/>
        </w:rPr>
      </w:pPr>
      <w:r w:rsidRPr="00390C7A">
        <w:rPr>
          <w:rStyle w:val="A2"/>
          <w:b/>
          <w:lang w:val="de-CH"/>
        </w:rPr>
        <w:t xml:space="preserve">Kann der Zahlungsaufschub </w:t>
      </w:r>
      <w:r w:rsidR="00583F33">
        <w:rPr>
          <w:rStyle w:val="A2"/>
          <w:b/>
          <w:lang w:val="de-CH"/>
        </w:rPr>
        <w:t>auch für verfallene</w:t>
      </w:r>
      <w:r w:rsidRPr="00390C7A">
        <w:rPr>
          <w:rStyle w:val="A2"/>
          <w:b/>
          <w:lang w:val="de-CH"/>
        </w:rPr>
        <w:t xml:space="preserve"> Beiträge beantragt </w:t>
      </w:r>
      <w:proofErr w:type="gramStart"/>
      <w:r w:rsidRPr="00390C7A">
        <w:rPr>
          <w:rStyle w:val="A2"/>
          <w:b/>
          <w:lang w:val="de-CH"/>
        </w:rPr>
        <w:t>werden ?</w:t>
      </w:r>
      <w:proofErr w:type="gramEnd"/>
    </w:p>
    <w:p w:rsidR="00845726" w:rsidRPr="0016384D" w:rsidRDefault="00843728" w:rsidP="00845726">
      <w:pPr>
        <w:spacing w:after="0" w:line="240" w:lineRule="auto"/>
        <w:jc w:val="both"/>
        <w:rPr>
          <w:rStyle w:val="A2"/>
          <w:lang w:val="de-CH"/>
        </w:rPr>
      </w:pPr>
      <w:r w:rsidRPr="00583F33">
        <w:rPr>
          <w:rStyle w:val="A2"/>
          <w:lang w:val="de-CH"/>
        </w:rPr>
        <w:t>Nein</w:t>
      </w:r>
      <w:r w:rsidR="00845726" w:rsidRPr="00583F33">
        <w:rPr>
          <w:rStyle w:val="A2"/>
          <w:lang w:val="de-CH"/>
        </w:rPr>
        <w:t xml:space="preserve">. </w:t>
      </w:r>
      <w:r w:rsidR="00583F33" w:rsidRPr="00583F33">
        <w:rPr>
          <w:rStyle w:val="A2"/>
          <w:lang w:val="de-CH"/>
        </w:rPr>
        <w:t xml:space="preserve"> Es </w:t>
      </w:r>
      <w:r w:rsidR="003818ED">
        <w:rPr>
          <w:rStyle w:val="A2"/>
          <w:lang w:val="de-CH"/>
        </w:rPr>
        <w:t>können</w:t>
      </w:r>
      <w:r w:rsidR="00583F33" w:rsidRPr="00583F33">
        <w:rPr>
          <w:rStyle w:val="A2"/>
          <w:lang w:val="de-CH"/>
        </w:rPr>
        <w:t xml:space="preserve"> nur Anträge auf nicht verfallene Beiträge </w:t>
      </w:r>
      <w:r w:rsidR="008436EE">
        <w:rPr>
          <w:rStyle w:val="A2"/>
          <w:lang w:val="de-CH"/>
        </w:rPr>
        <w:t xml:space="preserve">behandelt und </w:t>
      </w:r>
      <w:r w:rsidR="00583F33" w:rsidRPr="00583F33">
        <w:rPr>
          <w:rStyle w:val="A2"/>
          <w:lang w:val="de-CH"/>
        </w:rPr>
        <w:t>bewilligt</w:t>
      </w:r>
      <w:r w:rsidR="008436EE">
        <w:rPr>
          <w:rStyle w:val="A2"/>
          <w:lang w:val="de-CH"/>
        </w:rPr>
        <w:t xml:space="preserve"> werden</w:t>
      </w:r>
      <w:r w:rsidR="00583F33" w:rsidRPr="00583F33">
        <w:rPr>
          <w:rStyle w:val="A2"/>
          <w:lang w:val="de-CH"/>
        </w:rPr>
        <w:t xml:space="preserve">. </w:t>
      </w:r>
      <w:r w:rsidR="00583F33" w:rsidRPr="0016384D">
        <w:rPr>
          <w:rStyle w:val="A2"/>
          <w:lang w:val="de-CH"/>
        </w:rPr>
        <w:t xml:space="preserve">Hingegen erhalten Sie </w:t>
      </w:r>
      <w:r w:rsidR="0016384D" w:rsidRPr="0016384D">
        <w:rPr>
          <w:rStyle w:val="A2"/>
          <w:lang w:val="de-CH"/>
        </w:rPr>
        <w:t xml:space="preserve">bis Juli 2020 </w:t>
      </w:r>
      <w:r w:rsidR="00583F33" w:rsidRPr="0016384D">
        <w:rPr>
          <w:rStyle w:val="A2"/>
          <w:lang w:val="de-CH"/>
        </w:rPr>
        <w:t xml:space="preserve">keine Mahnungen auf </w:t>
      </w:r>
      <w:r w:rsidR="0016384D" w:rsidRPr="0016384D">
        <w:rPr>
          <w:rStyle w:val="A2"/>
          <w:lang w:val="de-CH"/>
        </w:rPr>
        <w:t xml:space="preserve">diese verfallenen Beträge. </w:t>
      </w:r>
    </w:p>
    <w:p w:rsidR="00845726" w:rsidRPr="0016384D" w:rsidRDefault="00845726" w:rsidP="00845726">
      <w:pPr>
        <w:spacing w:after="0" w:line="240" w:lineRule="auto"/>
        <w:jc w:val="both"/>
        <w:rPr>
          <w:rStyle w:val="A2"/>
          <w:sz w:val="16"/>
          <w:szCs w:val="16"/>
          <w:lang w:val="de-CH"/>
        </w:rPr>
      </w:pPr>
    </w:p>
    <w:p w:rsidR="00CE5C74" w:rsidRPr="001810A8" w:rsidRDefault="002800B0" w:rsidP="00B36A4D">
      <w:pPr>
        <w:spacing w:after="60" w:line="240" w:lineRule="auto"/>
        <w:jc w:val="both"/>
        <w:rPr>
          <w:rStyle w:val="A2"/>
          <w:b/>
          <w:lang w:val="de-CH"/>
        </w:rPr>
      </w:pPr>
      <w:r w:rsidRPr="002800B0">
        <w:rPr>
          <w:rStyle w:val="A2"/>
          <w:b/>
          <w:lang w:val="de-CH"/>
        </w:rPr>
        <w:t>Wir haben für eine verfallene Abrechnung bereits eine Mahnung erhalten.</w:t>
      </w:r>
      <w:r w:rsidR="006E34A3" w:rsidRPr="002800B0">
        <w:rPr>
          <w:rStyle w:val="A2"/>
          <w:b/>
          <w:lang w:val="de-CH"/>
        </w:rPr>
        <w:t xml:space="preserve"> </w:t>
      </w:r>
      <w:r w:rsidRPr="001810A8">
        <w:rPr>
          <w:rStyle w:val="A2"/>
          <w:b/>
          <w:lang w:val="de-CH"/>
        </w:rPr>
        <w:t xml:space="preserve">Ab wann folgt die </w:t>
      </w:r>
      <w:proofErr w:type="gramStart"/>
      <w:r w:rsidRPr="001810A8">
        <w:rPr>
          <w:rStyle w:val="A2"/>
          <w:b/>
          <w:lang w:val="de-CH"/>
        </w:rPr>
        <w:t>Betreibung ?</w:t>
      </w:r>
      <w:proofErr w:type="gramEnd"/>
    </w:p>
    <w:p w:rsidR="006E34A3" w:rsidRPr="002800B0" w:rsidRDefault="002800B0" w:rsidP="00845726">
      <w:pPr>
        <w:spacing w:after="0" w:line="240" w:lineRule="auto"/>
        <w:jc w:val="both"/>
        <w:rPr>
          <w:rStyle w:val="A2"/>
          <w:lang w:val="de-CH"/>
        </w:rPr>
      </w:pPr>
      <w:r w:rsidRPr="002800B0">
        <w:rPr>
          <w:rStyle w:val="A2"/>
          <w:lang w:val="de-CH"/>
        </w:rPr>
        <w:t>Diese erfolgt nach den Feiertagen, d.h. ab 2</w:t>
      </w:r>
      <w:r w:rsidR="006E34A3" w:rsidRPr="002800B0">
        <w:rPr>
          <w:rStyle w:val="A2"/>
          <w:lang w:val="de-CH"/>
        </w:rPr>
        <w:t>0</w:t>
      </w:r>
      <w:r w:rsidRPr="002800B0">
        <w:rPr>
          <w:rStyle w:val="A2"/>
          <w:lang w:val="de-CH"/>
        </w:rPr>
        <w:t>.</w:t>
      </w:r>
      <w:r>
        <w:rPr>
          <w:rStyle w:val="A2"/>
          <w:lang w:val="de-CH"/>
        </w:rPr>
        <w:t xml:space="preserve"> April</w:t>
      </w:r>
      <w:r w:rsidR="006E34A3" w:rsidRPr="002800B0">
        <w:rPr>
          <w:rStyle w:val="A2"/>
          <w:lang w:val="de-CH"/>
        </w:rPr>
        <w:t xml:space="preserve"> 2020.</w:t>
      </w:r>
    </w:p>
    <w:p w:rsidR="00132B23" w:rsidRPr="002800B0" w:rsidRDefault="00132B23" w:rsidP="00E06A67">
      <w:pPr>
        <w:spacing w:after="0" w:line="240" w:lineRule="auto"/>
        <w:jc w:val="both"/>
        <w:rPr>
          <w:rStyle w:val="A2"/>
          <w:sz w:val="16"/>
          <w:szCs w:val="16"/>
          <w:lang w:val="de-CH"/>
        </w:rPr>
      </w:pPr>
    </w:p>
    <w:p w:rsidR="00132B23" w:rsidRPr="00791E5D" w:rsidRDefault="00791E5D" w:rsidP="00B36A4D">
      <w:pPr>
        <w:spacing w:after="60" w:line="240" w:lineRule="auto"/>
        <w:jc w:val="both"/>
        <w:rPr>
          <w:rStyle w:val="A2"/>
          <w:b/>
          <w:lang w:val="de-CH"/>
        </w:rPr>
      </w:pPr>
      <w:r w:rsidRPr="00791E5D">
        <w:rPr>
          <w:rStyle w:val="A2"/>
          <w:b/>
          <w:lang w:val="de-CH"/>
        </w:rPr>
        <w:t xml:space="preserve">Kann man einen Zahlungsplan beantragen, auch wenn die laufenden Beiträge noch nicht bezahlt </w:t>
      </w:r>
      <w:proofErr w:type="gramStart"/>
      <w:r w:rsidRPr="00791E5D">
        <w:rPr>
          <w:rStyle w:val="A2"/>
          <w:b/>
          <w:lang w:val="de-CH"/>
        </w:rPr>
        <w:t>sind ?</w:t>
      </w:r>
      <w:proofErr w:type="gramEnd"/>
    </w:p>
    <w:p w:rsidR="00132B23" w:rsidRPr="00A45A5F" w:rsidRDefault="00250561" w:rsidP="00E06A67">
      <w:pPr>
        <w:spacing w:after="0" w:line="240" w:lineRule="auto"/>
        <w:jc w:val="both"/>
        <w:rPr>
          <w:rStyle w:val="A2"/>
          <w:lang w:val="de-CH"/>
        </w:rPr>
      </w:pPr>
      <w:r w:rsidRPr="00250561">
        <w:rPr>
          <w:rStyle w:val="A2"/>
          <w:lang w:val="de-CH"/>
        </w:rPr>
        <w:t xml:space="preserve">Die Zahlungspläne sind </w:t>
      </w:r>
      <w:proofErr w:type="gramStart"/>
      <w:r w:rsidRPr="00250561">
        <w:rPr>
          <w:rStyle w:val="A2"/>
          <w:lang w:val="de-CH"/>
        </w:rPr>
        <w:t>zur Zeit</w:t>
      </w:r>
      <w:proofErr w:type="gramEnd"/>
      <w:r w:rsidRPr="00250561">
        <w:rPr>
          <w:rStyle w:val="A2"/>
          <w:lang w:val="de-CH"/>
        </w:rPr>
        <w:t xml:space="preserve"> bei unserer Ausgleichskasse ebenfalls aufgeschoben. </w:t>
      </w:r>
      <w:r w:rsidR="00C54FE8">
        <w:rPr>
          <w:rStyle w:val="A2"/>
          <w:lang w:val="de-CH"/>
        </w:rPr>
        <w:t>Wir empfehlen Ihnen, mit der zuständigen Agentur der Ausgleichskasse im Juli Kontakt aufzunehmen, wen</w:t>
      </w:r>
      <w:r w:rsidR="00A45A5F">
        <w:rPr>
          <w:rStyle w:val="A2"/>
          <w:lang w:val="de-CH"/>
        </w:rPr>
        <w:t xml:space="preserve">n Sie bemerken, dass Sie die aufgeschobenen Beträge nicht bezahlen können. </w:t>
      </w:r>
      <w:r w:rsidR="00A45A5F" w:rsidRPr="00A45A5F">
        <w:rPr>
          <w:rStyle w:val="A2"/>
          <w:lang w:val="de-CH"/>
        </w:rPr>
        <w:t xml:space="preserve">Wenn die Bedingungen dann erfüllt sind, wird ein Zahlungsplan erstellt. </w:t>
      </w:r>
    </w:p>
    <w:p w:rsidR="00BB102B" w:rsidRDefault="00BB102B" w:rsidP="006730FF">
      <w:pPr>
        <w:spacing w:after="0" w:line="240" w:lineRule="auto"/>
        <w:jc w:val="both"/>
        <w:rPr>
          <w:rStyle w:val="A2"/>
          <w:rFonts w:cstheme="minorHAnsi"/>
          <w:lang w:val="de-CH"/>
        </w:rPr>
      </w:pPr>
    </w:p>
    <w:p w:rsidR="00FD179F" w:rsidRDefault="00FD179F" w:rsidP="006730FF">
      <w:pPr>
        <w:spacing w:after="0" w:line="240" w:lineRule="auto"/>
        <w:jc w:val="both"/>
        <w:rPr>
          <w:rStyle w:val="A2"/>
          <w:rFonts w:cstheme="minorHAnsi"/>
          <w:lang w:val="de-CH"/>
        </w:rPr>
      </w:pPr>
    </w:p>
    <w:p w:rsidR="00FD179F" w:rsidRDefault="00FD179F" w:rsidP="006730FF">
      <w:pPr>
        <w:spacing w:after="0" w:line="240" w:lineRule="auto"/>
        <w:jc w:val="both"/>
        <w:rPr>
          <w:rStyle w:val="A2"/>
          <w:rFonts w:cstheme="minorHAnsi"/>
          <w:lang w:val="de-CH"/>
        </w:rPr>
      </w:pPr>
    </w:p>
    <w:p w:rsidR="00FD179F" w:rsidRPr="00A45A5F" w:rsidRDefault="00FD179F" w:rsidP="006730FF">
      <w:pPr>
        <w:spacing w:after="0" w:line="240" w:lineRule="auto"/>
        <w:jc w:val="both"/>
        <w:rPr>
          <w:rStyle w:val="A2"/>
          <w:rFonts w:cstheme="minorHAnsi"/>
          <w:lang w:val="de-CH"/>
        </w:rPr>
      </w:pPr>
    </w:p>
    <w:p w:rsidR="00ED02B1" w:rsidRPr="00A80348" w:rsidRDefault="00EB2897" w:rsidP="007504B9">
      <w:pPr>
        <w:spacing w:after="120"/>
        <w:ind w:right="-567"/>
        <w:jc w:val="both"/>
        <w:rPr>
          <w:rStyle w:val="A2"/>
          <w:rFonts w:cstheme="minorHAnsi"/>
          <w:color w:val="943634" w:themeColor="accent2" w:themeShade="BF"/>
          <w:sz w:val="22"/>
          <w:szCs w:val="22"/>
        </w:rPr>
      </w:pPr>
      <w:proofErr w:type="spellStart"/>
      <w:r>
        <w:rPr>
          <w:rStyle w:val="A2"/>
          <w:rFonts w:cstheme="minorHAnsi"/>
          <w:b/>
          <w:color w:val="943634" w:themeColor="accent2" w:themeShade="BF"/>
          <w:sz w:val="22"/>
          <w:szCs w:val="22"/>
        </w:rPr>
        <w:lastRenderedPageBreak/>
        <w:t>Verzugszinsen</w:t>
      </w:r>
      <w:proofErr w:type="spellEnd"/>
      <w:r>
        <w:rPr>
          <w:rStyle w:val="A2"/>
          <w:rFonts w:cstheme="minorHAnsi"/>
          <w:b/>
          <w:color w:val="943634" w:themeColor="accent2" w:themeShade="BF"/>
          <w:sz w:val="22"/>
          <w:szCs w:val="22"/>
        </w:rPr>
        <w:t xml:space="preserve"> </w:t>
      </w:r>
    </w:p>
    <w:p w:rsidR="00D57781" w:rsidRPr="00B4491F" w:rsidRDefault="00B4491F" w:rsidP="005B79A4">
      <w:pPr>
        <w:spacing w:after="60" w:line="240" w:lineRule="auto"/>
        <w:jc w:val="both"/>
        <w:rPr>
          <w:rFonts w:cstheme="minorHAnsi"/>
          <w:b/>
          <w:color w:val="000000"/>
          <w:sz w:val="19"/>
          <w:szCs w:val="19"/>
          <w:lang w:val="de-CH"/>
        </w:rPr>
      </w:pPr>
      <w:r w:rsidRPr="00B4491F">
        <w:rPr>
          <w:rFonts w:cstheme="minorHAnsi"/>
          <w:b/>
          <w:color w:val="000000"/>
          <w:sz w:val="19"/>
          <w:szCs w:val="19"/>
          <w:lang w:val="de-CH"/>
        </w:rPr>
        <w:t xml:space="preserve">Gilt der Zinssatz von 0% ab 21.3.2020 für alle offenen Forderungen – also nicht nur für offene </w:t>
      </w:r>
      <w:proofErr w:type="gramStart"/>
      <w:r w:rsidRPr="00B4491F">
        <w:rPr>
          <w:rFonts w:cstheme="minorHAnsi"/>
          <w:b/>
          <w:color w:val="000000"/>
          <w:sz w:val="19"/>
          <w:szCs w:val="19"/>
          <w:lang w:val="de-CH"/>
        </w:rPr>
        <w:t>Tilgungspläne ?</w:t>
      </w:r>
      <w:proofErr w:type="gramEnd"/>
    </w:p>
    <w:p w:rsidR="00013614" w:rsidRPr="00934F51" w:rsidRDefault="00B4491F" w:rsidP="006730FF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lang w:val="de-CH"/>
        </w:rPr>
      </w:pPr>
      <w:r w:rsidRPr="00B4491F">
        <w:rPr>
          <w:rFonts w:cstheme="minorHAnsi"/>
          <w:color w:val="000000"/>
          <w:sz w:val="19"/>
          <w:szCs w:val="19"/>
          <w:lang w:val="de-CH"/>
        </w:rPr>
        <w:t>Richtig</w:t>
      </w:r>
      <w:r w:rsidR="00D57781" w:rsidRPr="00B4491F">
        <w:rPr>
          <w:rFonts w:cstheme="minorHAnsi"/>
          <w:color w:val="000000"/>
          <w:sz w:val="19"/>
          <w:szCs w:val="19"/>
          <w:lang w:val="de-CH"/>
        </w:rPr>
        <w:t xml:space="preserve">. </w:t>
      </w:r>
      <w:r w:rsidRPr="00B4491F">
        <w:rPr>
          <w:rFonts w:cstheme="minorHAnsi"/>
          <w:color w:val="000000"/>
          <w:sz w:val="19"/>
          <w:szCs w:val="19"/>
          <w:lang w:val="de-CH"/>
        </w:rPr>
        <w:t>Im Rahmen der ausserordentlichen Massnahmen beträgt der Zinssatz ab dem 21.3.2020</w:t>
      </w:r>
      <w:r>
        <w:rPr>
          <w:rFonts w:cstheme="minorHAnsi"/>
          <w:color w:val="000000"/>
          <w:sz w:val="19"/>
          <w:szCs w:val="19"/>
          <w:lang w:val="de-CH"/>
        </w:rPr>
        <w:t xml:space="preserve"> vorübergehend 0%. </w:t>
      </w:r>
      <w:r w:rsidR="00026693" w:rsidRPr="00934F51">
        <w:rPr>
          <w:rFonts w:cstheme="minorHAnsi"/>
          <w:color w:val="000000"/>
          <w:sz w:val="19"/>
          <w:szCs w:val="19"/>
          <w:lang w:val="de-CH"/>
        </w:rPr>
        <w:t>Die Da</w:t>
      </w:r>
      <w:r w:rsidR="00FD179F" w:rsidRPr="00934F51">
        <w:rPr>
          <w:rFonts w:cstheme="minorHAnsi"/>
          <w:color w:val="000000"/>
          <w:sz w:val="19"/>
          <w:szCs w:val="19"/>
          <w:lang w:val="de-CH"/>
        </w:rPr>
        <w:t xml:space="preserve">uer dieser Massnahme ist noch nicht festgelegt. </w:t>
      </w:r>
    </w:p>
    <w:p w:rsidR="00751BBC" w:rsidRPr="00934F51" w:rsidRDefault="00751BBC" w:rsidP="005B79A4">
      <w:pPr>
        <w:spacing w:after="60" w:line="240" w:lineRule="auto"/>
        <w:jc w:val="both"/>
        <w:rPr>
          <w:rFonts w:cstheme="minorHAnsi"/>
          <w:b/>
          <w:color w:val="000000"/>
          <w:sz w:val="19"/>
          <w:szCs w:val="19"/>
          <w:lang w:val="de-CH"/>
        </w:rPr>
      </w:pPr>
    </w:p>
    <w:p w:rsidR="00013614" w:rsidRPr="00934F51" w:rsidRDefault="00751BBC" w:rsidP="005B79A4">
      <w:pPr>
        <w:spacing w:after="60" w:line="240" w:lineRule="auto"/>
        <w:jc w:val="both"/>
        <w:rPr>
          <w:rFonts w:cstheme="minorHAnsi"/>
          <w:b/>
          <w:color w:val="000000"/>
          <w:sz w:val="19"/>
          <w:szCs w:val="19"/>
          <w:lang w:val="de-CH"/>
        </w:rPr>
      </w:pPr>
      <w:r w:rsidRPr="00751BBC">
        <w:rPr>
          <w:rFonts w:cstheme="minorHAnsi"/>
          <w:b/>
          <w:color w:val="000000"/>
          <w:sz w:val="19"/>
          <w:szCs w:val="19"/>
          <w:lang w:val="de-CH"/>
        </w:rPr>
        <w:t>Die Verzugszinsen wurd</w:t>
      </w:r>
      <w:r w:rsidR="00C44748">
        <w:rPr>
          <w:rFonts w:cstheme="minorHAnsi"/>
          <w:b/>
          <w:color w:val="000000"/>
          <w:sz w:val="19"/>
          <w:szCs w:val="19"/>
          <w:lang w:val="de-CH"/>
        </w:rPr>
        <w:t>e</w:t>
      </w:r>
      <w:r w:rsidRPr="00751BBC">
        <w:rPr>
          <w:rFonts w:cstheme="minorHAnsi"/>
          <w:b/>
          <w:color w:val="000000"/>
          <w:sz w:val="19"/>
          <w:szCs w:val="19"/>
          <w:lang w:val="de-CH"/>
        </w:rPr>
        <w:t>n uns vor dem En</w:t>
      </w:r>
      <w:r>
        <w:rPr>
          <w:rFonts w:cstheme="minorHAnsi"/>
          <w:b/>
          <w:color w:val="000000"/>
          <w:sz w:val="19"/>
          <w:szCs w:val="19"/>
          <w:lang w:val="de-CH"/>
        </w:rPr>
        <w:t xml:space="preserve">tscheid des Bundesrates vom 21. </w:t>
      </w:r>
      <w:r w:rsidRPr="00934F51">
        <w:rPr>
          <w:rFonts w:cstheme="minorHAnsi"/>
          <w:b/>
          <w:color w:val="000000"/>
          <w:sz w:val="19"/>
          <w:szCs w:val="19"/>
          <w:lang w:val="de-CH"/>
        </w:rPr>
        <w:t xml:space="preserve">März in Rechnung gestellt. </w:t>
      </w:r>
      <w:r w:rsidR="001644C8" w:rsidRPr="00934F51">
        <w:rPr>
          <w:rFonts w:cstheme="minorHAnsi"/>
          <w:b/>
          <w:color w:val="000000"/>
          <w:sz w:val="19"/>
          <w:szCs w:val="19"/>
          <w:lang w:val="de-CH"/>
        </w:rPr>
        <w:t xml:space="preserve">Müssen diese bezahlt </w:t>
      </w:r>
      <w:proofErr w:type="gramStart"/>
      <w:r w:rsidR="001644C8" w:rsidRPr="00934F51">
        <w:rPr>
          <w:rFonts w:cstheme="minorHAnsi"/>
          <w:b/>
          <w:color w:val="000000"/>
          <w:sz w:val="19"/>
          <w:szCs w:val="19"/>
          <w:lang w:val="de-CH"/>
        </w:rPr>
        <w:t>werden ?</w:t>
      </w:r>
      <w:proofErr w:type="gramEnd"/>
    </w:p>
    <w:p w:rsidR="00013614" w:rsidRPr="0083720E" w:rsidRDefault="001644C8" w:rsidP="006730FF">
      <w:pPr>
        <w:spacing w:after="0" w:line="240" w:lineRule="auto"/>
        <w:jc w:val="both"/>
        <w:rPr>
          <w:rFonts w:cstheme="minorHAnsi"/>
          <w:color w:val="000000"/>
          <w:sz w:val="19"/>
          <w:szCs w:val="19"/>
          <w:lang w:val="de-CH"/>
        </w:rPr>
      </w:pPr>
      <w:r w:rsidRPr="0083720E">
        <w:rPr>
          <w:rFonts w:cstheme="minorHAnsi"/>
          <w:color w:val="000000"/>
          <w:sz w:val="19"/>
          <w:szCs w:val="19"/>
          <w:lang w:val="de-CH"/>
        </w:rPr>
        <w:t>Ja. Diese sind zu bezahlen</w:t>
      </w:r>
      <w:r w:rsidR="00013614" w:rsidRPr="0083720E">
        <w:rPr>
          <w:rFonts w:cstheme="minorHAnsi"/>
          <w:color w:val="000000"/>
          <w:sz w:val="19"/>
          <w:szCs w:val="19"/>
          <w:lang w:val="de-CH"/>
        </w:rPr>
        <w:t>.</w:t>
      </w:r>
    </w:p>
    <w:p w:rsidR="00D57781" w:rsidRPr="0083720E" w:rsidRDefault="00D57781" w:rsidP="006730FF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lang w:val="de-CH"/>
        </w:rPr>
      </w:pPr>
    </w:p>
    <w:p w:rsidR="00D57781" w:rsidRPr="00934F51" w:rsidRDefault="00C44748" w:rsidP="005B79A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color w:val="000000"/>
          <w:sz w:val="19"/>
          <w:szCs w:val="19"/>
          <w:lang w:val="de-CH"/>
        </w:rPr>
      </w:pPr>
      <w:r w:rsidRPr="00C44748">
        <w:rPr>
          <w:rFonts w:cstheme="minorHAnsi"/>
          <w:b/>
          <w:color w:val="000000"/>
          <w:sz w:val="19"/>
          <w:szCs w:val="19"/>
          <w:lang w:val="de-CH"/>
        </w:rPr>
        <w:t xml:space="preserve">Die Beitragsabrechnung Januar 2020 wird am </w:t>
      </w:r>
      <w:r w:rsidR="00D57781" w:rsidRPr="00C44748">
        <w:rPr>
          <w:rFonts w:cstheme="minorHAnsi"/>
          <w:b/>
          <w:color w:val="000000"/>
          <w:sz w:val="19"/>
          <w:szCs w:val="19"/>
          <w:lang w:val="de-CH"/>
        </w:rPr>
        <w:t>25.03.2020</w:t>
      </w:r>
      <w:r w:rsidRPr="00C44748">
        <w:rPr>
          <w:rFonts w:cstheme="minorHAnsi"/>
          <w:b/>
          <w:color w:val="000000"/>
          <w:sz w:val="19"/>
          <w:szCs w:val="19"/>
          <w:lang w:val="de-CH"/>
        </w:rPr>
        <w:t xml:space="preserve"> bezahlt</w:t>
      </w:r>
      <w:r w:rsidR="00D57781" w:rsidRPr="00C44748">
        <w:rPr>
          <w:rFonts w:cstheme="minorHAnsi"/>
          <w:b/>
          <w:color w:val="000000"/>
          <w:sz w:val="19"/>
          <w:szCs w:val="19"/>
          <w:lang w:val="de-CH"/>
        </w:rPr>
        <w:t>.</w:t>
      </w:r>
      <w:r>
        <w:rPr>
          <w:rFonts w:cstheme="minorHAnsi"/>
          <w:b/>
          <w:color w:val="000000"/>
          <w:sz w:val="19"/>
          <w:szCs w:val="19"/>
          <w:lang w:val="de-CH"/>
        </w:rPr>
        <w:t xml:space="preserve"> </w:t>
      </w:r>
      <w:r w:rsidRPr="00C44748">
        <w:rPr>
          <w:rFonts w:cstheme="minorHAnsi"/>
          <w:b/>
          <w:color w:val="000000"/>
          <w:sz w:val="19"/>
          <w:szCs w:val="19"/>
          <w:lang w:val="de-CH"/>
        </w:rPr>
        <w:t xml:space="preserve">Wie wird der Verzugszins unter Berücksichtigung der </w:t>
      </w:r>
      <w:proofErr w:type="spellStart"/>
      <w:r w:rsidRPr="00C44748">
        <w:rPr>
          <w:rFonts w:cstheme="minorHAnsi"/>
          <w:b/>
          <w:color w:val="000000"/>
          <w:sz w:val="19"/>
          <w:szCs w:val="19"/>
          <w:lang w:val="de-CH"/>
        </w:rPr>
        <w:t>aussordentlichen</w:t>
      </w:r>
      <w:proofErr w:type="spellEnd"/>
      <w:r w:rsidRPr="00C44748">
        <w:rPr>
          <w:rFonts w:cstheme="minorHAnsi"/>
          <w:b/>
          <w:color w:val="000000"/>
          <w:sz w:val="19"/>
          <w:szCs w:val="19"/>
          <w:lang w:val="de-CH"/>
        </w:rPr>
        <w:t xml:space="preserve"> Massnahmen </w:t>
      </w:r>
      <w:r w:rsidR="00FD2B79">
        <w:rPr>
          <w:rFonts w:cstheme="minorHAnsi"/>
          <w:b/>
          <w:color w:val="000000"/>
          <w:sz w:val="19"/>
          <w:szCs w:val="19"/>
          <w:lang w:val="de-CH"/>
        </w:rPr>
        <w:t>berechnet?</w:t>
      </w:r>
      <w:r w:rsidR="00D57781" w:rsidRPr="00C44748">
        <w:rPr>
          <w:rFonts w:cstheme="minorHAnsi"/>
          <w:b/>
          <w:color w:val="000000"/>
          <w:sz w:val="19"/>
          <w:szCs w:val="19"/>
          <w:lang w:val="de-CH"/>
        </w:rPr>
        <w:t xml:space="preserve"> </w:t>
      </w:r>
    </w:p>
    <w:p w:rsidR="00336F4C" w:rsidRPr="003439E7" w:rsidRDefault="003439E7" w:rsidP="006730FF">
      <w:pPr>
        <w:spacing w:after="0" w:line="240" w:lineRule="auto"/>
        <w:jc w:val="both"/>
        <w:rPr>
          <w:rFonts w:cstheme="minorHAnsi"/>
          <w:color w:val="000000"/>
          <w:sz w:val="19"/>
          <w:szCs w:val="19"/>
          <w:lang w:val="de-CH"/>
        </w:rPr>
      </w:pPr>
      <w:r>
        <w:rPr>
          <w:rFonts w:cstheme="minorHAnsi"/>
          <w:color w:val="000000"/>
          <w:sz w:val="19"/>
          <w:szCs w:val="19"/>
          <w:lang w:val="de-CH"/>
        </w:rPr>
        <w:t>Der Zins v</w:t>
      </w:r>
      <w:r w:rsidRPr="003439E7">
        <w:rPr>
          <w:rFonts w:cstheme="minorHAnsi"/>
          <w:color w:val="000000"/>
          <w:sz w:val="19"/>
          <w:szCs w:val="19"/>
          <w:lang w:val="de-CH"/>
        </w:rPr>
        <w:t xml:space="preserve">om 1.2. bis 20.3. wird mit 5% und vom 21.3. </w:t>
      </w:r>
      <w:r>
        <w:rPr>
          <w:rFonts w:cstheme="minorHAnsi"/>
          <w:color w:val="000000"/>
          <w:sz w:val="19"/>
          <w:szCs w:val="19"/>
          <w:lang w:val="de-CH"/>
        </w:rPr>
        <w:t xml:space="preserve">bis 25.3.2020 mit 0% berechnet. </w:t>
      </w:r>
    </w:p>
    <w:p w:rsidR="00D57781" w:rsidRPr="003439E7" w:rsidRDefault="00D57781" w:rsidP="00673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  <w:lang w:val="de-CH"/>
        </w:rPr>
      </w:pPr>
    </w:p>
    <w:p w:rsidR="00D57781" w:rsidRPr="001335F0" w:rsidRDefault="001335F0" w:rsidP="005B79A4">
      <w:pPr>
        <w:spacing w:after="60" w:line="240" w:lineRule="auto"/>
        <w:jc w:val="both"/>
        <w:rPr>
          <w:rFonts w:cstheme="minorHAnsi"/>
          <w:b/>
          <w:color w:val="000000"/>
          <w:sz w:val="19"/>
          <w:szCs w:val="19"/>
          <w:lang w:val="de-CH"/>
        </w:rPr>
      </w:pPr>
      <w:r w:rsidRPr="001335F0">
        <w:rPr>
          <w:rFonts w:cstheme="minorHAnsi"/>
          <w:b/>
          <w:color w:val="000000"/>
          <w:sz w:val="19"/>
          <w:szCs w:val="19"/>
          <w:lang w:val="de-CH"/>
        </w:rPr>
        <w:t>Was geschieht mit dem Verzugszins bei Jahresabrechnungen, welche auf Grund einer Fristverlängerung</w:t>
      </w:r>
      <w:r w:rsidR="00955AE8">
        <w:rPr>
          <w:rFonts w:cstheme="minorHAnsi"/>
          <w:b/>
          <w:color w:val="000000"/>
          <w:sz w:val="19"/>
          <w:szCs w:val="19"/>
          <w:lang w:val="de-CH"/>
        </w:rPr>
        <w:t xml:space="preserve"> erst jetzt eingereicht </w:t>
      </w:r>
      <w:proofErr w:type="gramStart"/>
      <w:r w:rsidR="00955AE8">
        <w:rPr>
          <w:rFonts w:cstheme="minorHAnsi"/>
          <w:b/>
          <w:color w:val="000000"/>
          <w:sz w:val="19"/>
          <w:szCs w:val="19"/>
          <w:lang w:val="de-CH"/>
        </w:rPr>
        <w:t>werden ?</w:t>
      </w:r>
      <w:proofErr w:type="gramEnd"/>
    </w:p>
    <w:p w:rsidR="003452DA" w:rsidRPr="00934F51" w:rsidRDefault="00955AE8" w:rsidP="006730FF">
      <w:pPr>
        <w:spacing w:after="0" w:line="240" w:lineRule="auto"/>
        <w:jc w:val="both"/>
        <w:rPr>
          <w:rFonts w:cstheme="minorHAnsi"/>
          <w:sz w:val="19"/>
          <w:szCs w:val="19"/>
          <w:lang w:val="de-CH"/>
        </w:rPr>
      </w:pPr>
      <w:r w:rsidRPr="00955AE8">
        <w:rPr>
          <w:rFonts w:cstheme="minorHAnsi"/>
          <w:bCs/>
          <w:sz w:val="19"/>
          <w:szCs w:val="19"/>
          <w:lang w:val="de-CH"/>
        </w:rPr>
        <w:t xml:space="preserve">Ein allfälliger Zins vom 1.1.2019 bis 20.3.2020 wird mit 5% und vom 21.3. bis zur Rechnungsstellung mit 0% berechnet. </w:t>
      </w:r>
      <w:r w:rsidR="00594D3F" w:rsidRPr="00934F51">
        <w:rPr>
          <w:rFonts w:cstheme="minorHAnsi"/>
          <w:sz w:val="19"/>
          <w:szCs w:val="19"/>
          <w:lang w:val="de-CH"/>
        </w:rPr>
        <w:t>Ein allfälliger</w:t>
      </w:r>
      <w:r w:rsidR="00B815A4" w:rsidRPr="00934F51">
        <w:rPr>
          <w:rFonts w:cstheme="minorHAnsi"/>
          <w:sz w:val="19"/>
          <w:szCs w:val="19"/>
          <w:lang w:val="de-CH"/>
        </w:rPr>
        <w:t xml:space="preserve"> nachfolgender Zahlungsverzug würde auch mit 0% berechnet. </w:t>
      </w:r>
    </w:p>
    <w:p w:rsidR="003452DA" w:rsidRPr="00934F51" w:rsidRDefault="003452DA" w:rsidP="006730FF">
      <w:pPr>
        <w:spacing w:after="0" w:line="240" w:lineRule="auto"/>
        <w:jc w:val="both"/>
        <w:rPr>
          <w:rStyle w:val="A2"/>
          <w:rFonts w:cstheme="minorHAnsi"/>
          <w:lang w:val="de-CH"/>
        </w:rPr>
      </w:pPr>
    </w:p>
    <w:p w:rsidR="00934F51" w:rsidRDefault="00934F51" w:rsidP="006730FF">
      <w:pPr>
        <w:spacing w:after="0" w:line="240" w:lineRule="auto"/>
        <w:jc w:val="both"/>
        <w:rPr>
          <w:rStyle w:val="A2"/>
          <w:rFonts w:cstheme="minorHAnsi"/>
          <w:lang w:val="de-CH"/>
        </w:rPr>
      </w:pPr>
    </w:p>
    <w:p w:rsidR="00934F51" w:rsidRDefault="00934F51" w:rsidP="006730FF">
      <w:pPr>
        <w:spacing w:after="0" w:line="240" w:lineRule="auto"/>
        <w:jc w:val="both"/>
        <w:rPr>
          <w:rStyle w:val="A2"/>
          <w:rFonts w:cstheme="minorHAnsi"/>
          <w:lang w:val="de-CH"/>
        </w:rPr>
      </w:pPr>
    </w:p>
    <w:p w:rsidR="00934F51" w:rsidRPr="00934F51" w:rsidRDefault="00934F51" w:rsidP="00934F51">
      <w:pPr>
        <w:rPr>
          <w:color w:val="C0504D" w:themeColor="accent2"/>
          <w:sz w:val="19"/>
          <w:szCs w:val="19"/>
          <w:lang w:val="de-CH"/>
        </w:rPr>
      </w:pPr>
      <w:r w:rsidRPr="00934F51">
        <w:rPr>
          <w:color w:val="C0504D" w:themeColor="accent2"/>
          <w:sz w:val="19"/>
          <w:szCs w:val="19"/>
          <w:lang w:val="de-CH"/>
        </w:rPr>
        <w:t xml:space="preserve">Gerne verweisen wir auch auf die vom Bundesrat beschlossenen Liquiditätshilfen mit einem Garantieprogramm für </w:t>
      </w:r>
      <w:r w:rsidRPr="00934F51">
        <w:rPr>
          <w:rFonts w:cstheme="minorHAnsi"/>
          <w:color w:val="C0504D" w:themeColor="accent2"/>
          <w:sz w:val="19"/>
          <w:szCs w:val="19"/>
          <w:lang w:val="de-CH"/>
        </w:rPr>
        <w:t>Ü</w:t>
      </w:r>
      <w:r w:rsidRPr="00934F51">
        <w:rPr>
          <w:color w:val="C0504D" w:themeColor="accent2"/>
          <w:sz w:val="19"/>
          <w:szCs w:val="19"/>
          <w:lang w:val="de-CH"/>
        </w:rPr>
        <w:t>berbrückungskredite bei Banken. Informationen dazu finden Sie auf der Webseite des Bundes wie auch der Arbeitgeberorganisation der Uhrenindustrie.</w:t>
      </w:r>
    </w:p>
    <w:p w:rsidR="00934F51" w:rsidRPr="00934F51" w:rsidRDefault="00934F51" w:rsidP="006730FF">
      <w:pPr>
        <w:spacing w:after="0" w:line="240" w:lineRule="auto"/>
        <w:jc w:val="both"/>
        <w:rPr>
          <w:rStyle w:val="A2"/>
          <w:rFonts w:cstheme="minorHAnsi"/>
          <w:lang w:val="de-CH"/>
        </w:rPr>
      </w:pPr>
    </w:p>
    <w:p w:rsidR="001644B7" w:rsidRDefault="00E40523" w:rsidP="00594BA0">
      <w:pPr>
        <w:rPr>
          <w:rStyle w:val="A2"/>
          <w:b/>
          <w:bCs/>
          <w:sz w:val="22"/>
          <w:szCs w:val="22"/>
          <w:lang w:val="de-CH"/>
        </w:rPr>
      </w:pPr>
      <w:r>
        <w:rPr>
          <w:rStyle w:val="A2"/>
          <w:b/>
          <w:bCs/>
          <w:sz w:val="22"/>
          <w:szCs w:val="22"/>
          <w:lang w:val="de-CH"/>
        </w:rPr>
        <w:t xml:space="preserve">                                                                                                                                                                 </w:t>
      </w:r>
    </w:p>
    <w:p w:rsidR="00E40523" w:rsidRDefault="00E40523" w:rsidP="00594BA0">
      <w:pPr>
        <w:rPr>
          <w:rStyle w:val="A2"/>
          <w:b/>
          <w:bCs/>
          <w:sz w:val="22"/>
          <w:szCs w:val="22"/>
          <w:lang w:val="de-CH"/>
        </w:rPr>
      </w:pPr>
    </w:p>
    <w:p w:rsidR="00E40523" w:rsidRPr="00E40523" w:rsidRDefault="00E40523" w:rsidP="00594BA0">
      <w:pPr>
        <w:rPr>
          <w:rStyle w:val="A2"/>
          <w:bCs/>
          <w:sz w:val="16"/>
          <w:szCs w:val="16"/>
          <w:lang w:val="de-CH"/>
        </w:rPr>
      </w:pPr>
      <w:r w:rsidRPr="00E40523">
        <w:rPr>
          <w:rStyle w:val="A2"/>
          <w:bCs/>
          <w:sz w:val="20"/>
          <w:szCs w:val="20"/>
          <w:lang w:val="de-CH"/>
        </w:rPr>
        <w:t xml:space="preserve">                                                                                                                                                        </w:t>
      </w:r>
      <w:r>
        <w:rPr>
          <w:rStyle w:val="A2"/>
          <w:bCs/>
          <w:sz w:val="20"/>
          <w:szCs w:val="20"/>
          <w:lang w:val="de-CH"/>
        </w:rPr>
        <w:t xml:space="preserve">              </w:t>
      </w:r>
      <w:r w:rsidRPr="00E40523">
        <w:rPr>
          <w:rStyle w:val="A2"/>
          <w:bCs/>
          <w:sz w:val="20"/>
          <w:szCs w:val="20"/>
          <w:lang w:val="de-CH"/>
        </w:rPr>
        <w:t xml:space="preserve">                 </w:t>
      </w:r>
      <w:r w:rsidRPr="00E40523">
        <w:rPr>
          <w:rStyle w:val="A2"/>
          <w:bCs/>
          <w:sz w:val="16"/>
          <w:szCs w:val="16"/>
          <w:lang w:val="de-CH"/>
        </w:rPr>
        <w:t xml:space="preserve">  27. März 2020</w:t>
      </w:r>
    </w:p>
    <w:p w:rsidR="0067289E" w:rsidRPr="00934F51" w:rsidRDefault="0067289E" w:rsidP="00FE6617">
      <w:pPr>
        <w:spacing w:after="0"/>
        <w:ind w:right="-142"/>
        <w:jc w:val="right"/>
        <w:rPr>
          <w:rFonts w:cs="Stone Sans II ITC Pro Bk"/>
          <w:color w:val="211D1E"/>
          <w:sz w:val="16"/>
          <w:szCs w:val="16"/>
          <w:lang w:val="de-CH"/>
        </w:rPr>
      </w:pPr>
    </w:p>
    <w:p w:rsidR="00280C56" w:rsidRPr="005A18CE" w:rsidRDefault="002F1B0B" w:rsidP="00860BB1">
      <w:pPr>
        <w:autoSpaceDE w:val="0"/>
        <w:autoSpaceDN w:val="0"/>
        <w:adjustRightInd w:val="0"/>
        <w:spacing w:before="80" w:after="0" w:line="241" w:lineRule="atLeast"/>
        <w:ind w:right="-567"/>
        <w:rPr>
          <w:rStyle w:val="A2"/>
          <w:color w:val="943634" w:themeColor="accent2" w:themeShade="BF"/>
          <w:sz w:val="40"/>
          <w:szCs w:val="40"/>
          <w:lang w:val="de-CH"/>
        </w:rPr>
      </w:pPr>
      <w:r w:rsidRPr="005A18CE">
        <w:rPr>
          <w:rStyle w:val="A2"/>
          <w:color w:val="943634" w:themeColor="accent2" w:themeShade="BF"/>
          <w:sz w:val="40"/>
          <w:szCs w:val="40"/>
          <w:lang w:val="de-CH"/>
        </w:rPr>
        <w:t>Kontakt</w:t>
      </w:r>
    </w:p>
    <w:p w:rsidR="00280C56" w:rsidRPr="005A18CE" w:rsidRDefault="005A18CE" w:rsidP="00860BB1">
      <w:pPr>
        <w:spacing w:after="0"/>
        <w:ind w:right="-567"/>
        <w:rPr>
          <w:rStyle w:val="A2"/>
          <w:b/>
          <w:lang w:val="de-CH"/>
        </w:rPr>
      </w:pPr>
      <w:r>
        <w:rPr>
          <w:rStyle w:val="A2"/>
          <w:b/>
          <w:lang w:val="de-CH"/>
        </w:rPr>
        <w:t>AHV-Ausgleichskasse der Uhrenin</w:t>
      </w:r>
      <w:r w:rsidRPr="005A18CE">
        <w:rPr>
          <w:rStyle w:val="A2"/>
          <w:b/>
          <w:lang w:val="de-CH"/>
        </w:rPr>
        <w:t>dustrie</w:t>
      </w:r>
      <w:r w:rsidR="00280C56" w:rsidRPr="005A18CE">
        <w:rPr>
          <w:rStyle w:val="A2"/>
          <w:b/>
          <w:lang w:val="de-CH"/>
        </w:rPr>
        <w:t xml:space="preserve"> </w:t>
      </w:r>
    </w:p>
    <w:p w:rsidR="00280C56" w:rsidRPr="002F1B0B" w:rsidRDefault="002F1B0B" w:rsidP="00860BB1">
      <w:pPr>
        <w:spacing w:after="0"/>
        <w:ind w:right="-567"/>
        <w:rPr>
          <w:rFonts w:cs="Stone Sans II ITC Pro Bk"/>
          <w:color w:val="211D1E"/>
          <w:sz w:val="17"/>
          <w:szCs w:val="17"/>
          <w:lang w:val="de-CH"/>
        </w:rPr>
      </w:pPr>
      <w:r w:rsidRPr="002F1B0B">
        <w:rPr>
          <w:rFonts w:cs="Stone Sans II ITC Pro Bk"/>
          <w:color w:val="211D1E"/>
          <w:sz w:val="17"/>
          <w:szCs w:val="17"/>
          <w:lang w:val="de-CH"/>
        </w:rPr>
        <w:t>Ihre AHV-Ausgleichskasse</w:t>
      </w:r>
    </w:p>
    <w:p w:rsidR="00F3303A" w:rsidRPr="002F1B0B" w:rsidRDefault="00F3303A" w:rsidP="00860BB1">
      <w:pPr>
        <w:spacing w:after="0"/>
        <w:ind w:right="-567"/>
        <w:rPr>
          <w:rFonts w:cs="Stone Sans II ITC Pro Bk"/>
          <w:color w:val="211D1E"/>
          <w:sz w:val="17"/>
          <w:szCs w:val="17"/>
          <w:lang w:val="de-CH"/>
        </w:rPr>
      </w:pPr>
    </w:p>
    <w:p w:rsidR="00D94A50" w:rsidRPr="002F1B0B" w:rsidRDefault="00D94A50" w:rsidP="00860BB1">
      <w:pPr>
        <w:spacing w:after="0"/>
        <w:ind w:right="-567"/>
        <w:rPr>
          <w:rFonts w:cs="Stone Sans II ITC Pro Bk"/>
          <w:color w:val="211D1E"/>
          <w:sz w:val="17"/>
          <w:szCs w:val="17"/>
          <w:lang w:val="de-CH"/>
        </w:rPr>
      </w:pPr>
    </w:p>
    <w:p w:rsidR="00A00A02" w:rsidRPr="002F1B0B" w:rsidRDefault="00A00A02" w:rsidP="00860BB1">
      <w:pPr>
        <w:spacing w:after="0"/>
        <w:ind w:right="-567"/>
        <w:rPr>
          <w:rFonts w:cs="Stone Sans II ITC Pro Bk"/>
          <w:color w:val="211D1E"/>
          <w:sz w:val="17"/>
          <w:szCs w:val="17"/>
          <w:lang w:val="de-CH"/>
        </w:rPr>
      </w:pPr>
    </w:p>
    <w:p w:rsidR="00A00A02" w:rsidRPr="002F1B0B" w:rsidRDefault="00A00A02" w:rsidP="00860BB1">
      <w:pPr>
        <w:spacing w:after="0"/>
        <w:ind w:right="-567"/>
        <w:rPr>
          <w:rFonts w:cs="Stone Sans II ITC Pro Bk"/>
          <w:color w:val="211D1E"/>
          <w:sz w:val="17"/>
          <w:szCs w:val="17"/>
          <w:lang w:val="de-CH"/>
        </w:rPr>
      </w:pPr>
    </w:p>
    <w:p w:rsidR="00A00A02" w:rsidRPr="002F1B0B" w:rsidRDefault="00A00A02" w:rsidP="00860BB1">
      <w:pPr>
        <w:spacing w:after="0"/>
        <w:ind w:right="-567"/>
        <w:rPr>
          <w:rFonts w:cs="Stone Sans II ITC Pro Bk"/>
          <w:color w:val="211D1E"/>
          <w:sz w:val="17"/>
          <w:szCs w:val="17"/>
          <w:lang w:val="de-CH"/>
        </w:rPr>
      </w:pPr>
    </w:p>
    <w:p w:rsidR="00A00A02" w:rsidRPr="002F1B0B" w:rsidRDefault="00A00A02" w:rsidP="00860BB1">
      <w:pPr>
        <w:spacing w:after="0"/>
        <w:ind w:right="-567"/>
        <w:rPr>
          <w:rFonts w:cs="Stone Sans II ITC Pro Bk"/>
          <w:color w:val="211D1E"/>
          <w:sz w:val="17"/>
          <w:szCs w:val="17"/>
          <w:lang w:val="de-CH"/>
        </w:rPr>
      </w:pPr>
    </w:p>
    <w:p w:rsidR="0067544A" w:rsidRPr="002F1B0B" w:rsidRDefault="0067544A" w:rsidP="00860BB1">
      <w:pPr>
        <w:spacing w:after="0"/>
        <w:ind w:right="-567"/>
        <w:rPr>
          <w:rFonts w:cs="Stone Sans II ITC Pro Bk"/>
          <w:i/>
          <w:color w:val="211D1E"/>
          <w:sz w:val="17"/>
          <w:szCs w:val="17"/>
          <w:lang w:val="de-CH"/>
        </w:rPr>
      </w:pPr>
    </w:p>
    <w:p w:rsidR="006A60E5" w:rsidRPr="002F1B0B" w:rsidRDefault="003E7D21" w:rsidP="00A00A02">
      <w:pPr>
        <w:spacing w:after="0"/>
        <w:ind w:right="-567"/>
        <w:jc w:val="right"/>
        <w:rPr>
          <w:rStyle w:val="A2"/>
          <w:i/>
          <w:lang w:val="de-CH"/>
        </w:rPr>
      </w:pPr>
      <w:r>
        <w:rPr>
          <w:rStyle w:val="A2"/>
          <w:i/>
          <w:lang w:val="de-CH"/>
        </w:rPr>
        <w:t>Diese « </w:t>
      </w:r>
      <w:proofErr w:type="spellStart"/>
      <w:r>
        <w:rPr>
          <w:rStyle w:val="A2"/>
          <w:i/>
          <w:lang w:val="de-CH"/>
        </w:rPr>
        <w:t>i</w:t>
      </w:r>
      <w:r w:rsidR="002F1B0B" w:rsidRPr="002F1B0B">
        <w:rPr>
          <w:rStyle w:val="A2"/>
          <w:i/>
          <w:lang w:val="de-CH"/>
        </w:rPr>
        <w:t>nfo</w:t>
      </w:r>
      <w:proofErr w:type="spellEnd"/>
      <w:r w:rsidR="002F1B0B" w:rsidRPr="002F1B0B">
        <w:rPr>
          <w:rStyle w:val="A2"/>
          <w:i/>
          <w:lang w:val="de-CH"/>
        </w:rPr>
        <w:t xml:space="preserve"> CCIH</w:t>
      </w:r>
      <w:r>
        <w:rPr>
          <w:rStyle w:val="A2"/>
          <w:i/>
          <w:lang w:val="de-CH"/>
        </w:rPr>
        <w:t>» hat ausschliesslich einen informativen Charakter. Massgebend sind einzig und allein die gesetzlichen und statutarischen Bestimmun</w:t>
      </w:r>
      <w:r w:rsidR="005A18CE">
        <w:rPr>
          <w:rStyle w:val="A2"/>
          <w:i/>
          <w:lang w:val="de-CH"/>
        </w:rPr>
        <w:t>g</w:t>
      </w:r>
      <w:r>
        <w:rPr>
          <w:rStyle w:val="A2"/>
          <w:i/>
          <w:lang w:val="de-CH"/>
        </w:rPr>
        <w:t>en</w:t>
      </w:r>
      <w:r w:rsidR="005A18CE">
        <w:rPr>
          <w:rStyle w:val="A2"/>
          <w:i/>
          <w:lang w:val="de-CH"/>
        </w:rPr>
        <w:t>.</w:t>
      </w:r>
      <w:r>
        <w:rPr>
          <w:rStyle w:val="A2"/>
          <w:i/>
          <w:lang w:val="de-CH"/>
        </w:rPr>
        <w:t xml:space="preserve"> </w:t>
      </w:r>
    </w:p>
    <w:p w:rsidR="00A00A02" w:rsidRPr="005A18CE" w:rsidRDefault="003E7D21" w:rsidP="00A00A02">
      <w:pPr>
        <w:spacing w:after="0"/>
        <w:ind w:right="-567"/>
        <w:jc w:val="right"/>
        <w:rPr>
          <w:rStyle w:val="A2"/>
          <w:i/>
          <w:lang w:val="de-CH"/>
        </w:rPr>
      </w:pPr>
      <w:r w:rsidRPr="003E7D21">
        <w:rPr>
          <w:rStyle w:val="A2"/>
          <w:i/>
          <w:lang w:val="de-CH"/>
        </w:rPr>
        <w:t xml:space="preserve">Sie wurde aufgrund der Verordnung vom 20. </w:t>
      </w:r>
      <w:r w:rsidRPr="00393E3A">
        <w:rPr>
          <w:rStyle w:val="A2"/>
          <w:i/>
          <w:lang w:val="de-CH"/>
        </w:rPr>
        <w:t xml:space="preserve">März 2020 erstellt und </w:t>
      </w:r>
      <w:r w:rsidR="00393E3A" w:rsidRPr="00393E3A">
        <w:rPr>
          <w:rStyle w:val="A2"/>
          <w:i/>
          <w:lang w:val="de-CH"/>
        </w:rPr>
        <w:t>wird gege</w:t>
      </w:r>
      <w:r w:rsidR="005A18CE">
        <w:rPr>
          <w:rStyle w:val="A2"/>
          <w:i/>
          <w:lang w:val="de-CH"/>
        </w:rPr>
        <w:t>be</w:t>
      </w:r>
      <w:r w:rsidR="00D801F2">
        <w:rPr>
          <w:rStyle w:val="A2"/>
          <w:i/>
          <w:lang w:val="de-CH"/>
        </w:rPr>
        <w:t>nenfalls angepasst</w:t>
      </w:r>
      <w:r w:rsidR="00A00A02" w:rsidRPr="005A18CE">
        <w:rPr>
          <w:rStyle w:val="A2"/>
          <w:i/>
          <w:lang w:val="de-CH"/>
        </w:rPr>
        <w:t>.</w:t>
      </w:r>
    </w:p>
    <w:sectPr w:rsidR="00A00A02" w:rsidRPr="005A18CE" w:rsidSect="00902C20">
      <w:headerReference w:type="default" r:id="rId9"/>
      <w:footerReference w:type="default" r:id="rId10"/>
      <w:pgSz w:w="11906" w:h="16838"/>
      <w:pgMar w:top="1417" w:right="1133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9F" w:rsidRDefault="00FD179F" w:rsidP="00603E16">
      <w:pPr>
        <w:spacing w:after="0" w:line="240" w:lineRule="auto"/>
      </w:pPr>
      <w:r>
        <w:separator/>
      </w:r>
    </w:p>
  </w:endnote>
  <w:endnote w:type="continuationSeparator" w:id="0">
    <w:p w:rsidR="00FD179F" w:rsidRDefault="00FD179F" w:rsidP="006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 Sans II ITC Std">
    <w:altName w:val="Stone Sans II IT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ans II ITC Pro Bk">
    <w:altName w:val="Stone Sans II ITC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85140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FD179F" w:rsidRDefault="00FD179F" w:rsidP="00D52902">
        <w:pPr>
          <w:spacing w:after="0"/>
          <w:ind w:right="-567"/>
          <w:rPr>
            <w:rStyle w:val="A2"/>
            <w:i/>
            <w:sz w:val="16"/>
            <w:szCs w:val="16"/>
          </w:rPr>
        </w:pPr>
        <w:r w:rsidRPr="0067544A">
          <w:rPr>
            <w:rStyle w:val="A2"/>
            <w:i/>
            <w:sz w:val="16"/>
            <w:szCs w:val="16"/>
          </w:rPr>
          <w:t xml:space="preserve"> </w:t>
        </w:r>
      </w:p>
      <w:p w:rsidR="00FD179F" w:rsidRPr="00E32568" w:rsidRDefault="00FD179F" w:rsidP="00E32568">
        <w:pPr>
          <w:pStyle w:val="Pieddepage"/>
          <w:tabs>
            <w:tab w:val="left" w:pos="4820"/>
          </w:tabs>
          <w:rPr>
            <w:rFonts w:ascii="Cambria" w:hAnsi="Cambria"/>
            <w:sz w:val="16"/>
            <w:szCs w:val="16"/>
          </w:rPr>
        </w:pPr>
        <w:r w:rsidRPr="00E32568">
          <w:rPr>
            <w:rFonts w:ascii="Cambria" w:hAnsi="Cambria"/>
            <w:noProof/>
            <w:sz w:val="16"/>
            <w:szCs w:val="16"/>
            <w:lang w:eastAsia="fr-CH"/>
          </w:rPr>
          <w:drawing>
            <wp:anchor distT="0" distB="0" distL="114300" distR="114300" simplePos="0" relativeHeight="251656192" behindDoc="1" locked="0" layoutInCell="1" allowOverlap="1" wp14:anchorId="29E0021C" wp14:editId="11BDA9B1">
              <wp:simplePos x="0" y="0"/>
              <wp:positionH relativeFrom="column">
                <wp:posOffset>4323080</wp:posOffset>
              </wp:positionH>
              <wp:positionV relativeFrom="paragraph">
                <wp:posOffset>-554355</wp:posOffset>
              </wp:positionV>
              <wp:extent cx="2164080" cy="615315"/>
              <wp:effectExtent l="0" t="0" r="7620" b="0"/>
              <wp:wrapNone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4080" cy="615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32568">
          <w:rPr>
            <w:rFonts w:ascii="Cambria" w:hAnsi="Cambria"/>
            <w:sz w:val="16"/>
            <w:szCs w:val="16"/>
          </w:rPr>
          <w:t xml:space="preserve"> </w:t>
        </w:r>
      </w:p>
    </w:sdtContent>
  </w:sdt>
  <w:p w:rsidR="00FD179F" w:rsidRDefault="00FD17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9F" w:rsidRDefault="00FD179F" w:rsidP="00603E16">
      <w:pPr>
        <w:spacing w:after="0" w:line="240" w:lineRule="auto"/>
      </w:pPr>
      <w:r>
        <w:separator/>
      </w:r>
    </w:p>
  </w:footnote>
  <w:footnote w:type="continuationSeparator" w:id="0">
    <w:p w:rsidR="00FD179F" w:rsidRDefault="00FD179F" w:rsidP="0060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claire-Accent2"/>
      <w:tblW w:w="5050" w:type="pct"/>
      <w:tblBorders>
        <w:bottom w:val="single" w:sz="18" w:space="0" w:color="C0504D" w:themeColor="accent2"/>
      </w:tblBorders>
      <w:tblLook w:val="04A0" w:firstRow="1" w:lastRow="0" w:firstColumn="1" w:lastColumn="0" w:noHBand="0" w:noVBand="1"/>
    </w:tblPr>
    <w:tblGrid>
      <w:gridCol w:w="8126"/>
      <w:gridCol w:w="1446"/>
    </w:tblGrid>
    <w:tr w:rsidR="00FD179F" w:rsidRPr="008F5023" w:rsidTr="00110C2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0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FD179F" w:rsidRPr="008F5023" w:rsidRDefault="00FD179F" w:rsidP="00084F78">
          <w:pPr>
            <w:pStyle w:val="En-tte"/>
            <w:tabs>
              <w:tab w:val="clear" w:pos="4536"/>
              <w:tab w:val="clear" w:pos="9072"/>
            </w:tabs>
            <w:ind w:left="567" w:right="4369"/>
            <w:rPr>
              <w:rFonts w:asciiTheme="minorHAnsi" w:hAnsiTheme="minorHAnsi" w:cs="Times New Roman"/>
              <w:b w:val="0"/>
              <w:color w:val="FFFFFF" w:themeColor="background1"/>
              <w:sz w:val="36"/>
              <w:szCs w:val="36"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1" locked="0" layoutInCell="1" allowOverlap="1" wp14:anchorId="4E8654BE" wp14:editId="126DD49E">
                <wp:simplePos x="0" y="0"/>
                <wp:positionH relativeFrom="column">
                  <wp:posOffset>28425</wp:posOffset>
                </wp:positionH>
                <wp:positionV relativeFrom="paragraph">
                  <wp:posOffset>73547</wp:posOffset>
                </wp:positionV>
                <wp:extent cx="5376707" cy="1223083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7389" cy="1225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cs="Times New Roman"/>
                <w:color w:val="FFFFFF" w:themeColor="background1"/>
                <w:sz w:val="72"/>
                <w:szCs w:val="72"/>
              </w:rPr>
              <w:id w:val="506266360"/>
              <w:docPartObj>
                <w:docPartGallery w:val="Page Numbers (Margins)"/>
                <w:docPartUnique/>
              </w:docPartObj>
            </w:sdtPr>
            <w:sdtEndPr/>
            <w:sdtContent/>
          </w:sdt>
          <w:sdt>
            <w:sdtPr>
              <w:rPr>
                <w:rFonts w:cs="Times New Roman"/>
                <w:color w:val="FFFFFF" w:themeColor="background1"/>
                <w:sz w:val="72"/>
                <w:szCs w:val="72"/>
              </w:rPr>
              <w:alias w:val="Titre"/>
              <w:id w:val="83280130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cs="Times New Roman"/>
                  <w:color w:val="FFFFFF" w:themeColor="background1"/>
                  <w:sz w:val="72"/>
                  <w:szCs w:val="72"/>
                </w:rPr>
                <w:t>info    CCIH</w:t>
              </w:r>
            </w:sdtContent>
          </w:sdt>
        </w:p>
      </w:tc>
      <w:tc>
        <w:tcPr>
          <w:tcW w:w="150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pct12" w:color="943634" w:themeColor="accent2" w:themeShade="BF" w:fill="943634" w:themeFill="accent2" w:themeFillShade="BF"/>
        </w:tcPr>
        <w:p w:rsidR="00FD179F" w:rsidRPr="008F5023" w:rsidRDefault="00FD179F" w:rsidP="00702778">
          <w:pPr>
            <w:pStyle w:val="En-tt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Times New Roman"/>
              <w:b w:val="0"/>
              <w:bCs w:val="0"/>
              <w:color w:val="FFFFFF" w:themeColor="background1"/>
              <w:sz w:val="36"/>
              <w:szCs w:val="36"/>
              <w14:numForm w14:val="oldStyle"/>
            </w:rPr>
          </w:pPr>
          <w:proofErr w:type="spellStart"/>
          <w:r>
            <w:rPr>
              <w:rFonts w:asciiTheme="minorHAnsi" w:hAnsiTheme="minorHAnsi" w:cs="Times New Roman"/>
              <w:b w:val="0"/>
              <w:bCs w:val="0"/>
              <w:color w:val="FFFFFF" w:themeColor="background1"/>
              <w:sz w:val="36"/>
              <w:szCs w:val="36"/>
              <w14:numForm w14:val="oldStyle"/>
            </w:rPr>
            <w:t>März</w:t>
          </w:r>
          <w:proofErr w:type="spellEnd"/>
          <w:r>
            <w:rPr>
              <w:rFonts w:asciiTheme="minorHAnsi" w:hAnsiTheme="minorHAnsi" w:cs="Times New Roman"/>
              <w:b w:val="0"/>
              <w:bCs w:val="0"/>
              <w:color w:val="FFFFFF" w:themeColor="background1"/>
              <w:sz w:val="36"/>
              <w:szCs w:val="36"/>
              <w14:numForm w14:val="oldStyle"/>
            </w:rPr>
            <w:t xml:space="preserve"> 2020</w:t>
          </w:r>
        </w:p>
      </w:tc>
    </w:tr>
  </w:tbl>
  <w:p w:rsidR="00FD179F" w:rsidRDefault="00FD179F">
    <w:pPr>
      <w:pStyle w:val="En-tte"/>
    </w:pPr>
  </w:p>
  <w:p w:rsidR="00FD179F" w:rsidRPr="00E32568" w:rsidRDefault="00FD179F" w:rsidP="002C4375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D94"/>
    <w:multiLevelType w:val="hybridMultilevel"/>
    <w:tmpl w:val="47DA03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9A3"/>
    <w:multiLevelType w:val="hybridMultilevel"/>
    <w:tmpl w:val="D16214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96C"/>
    <w:multiLevelType w:val="hybridMultilevel"/>
    <w:tmpl w:val="1DC45436"/>
    <w:lvl w:ilvl="0" w:tplc="A6D24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5E5D"/>
    <w:multiLevelType w:val="hybridMultilevel"/>
    <w:tmpl w:val="5866C1F0"/>
    <w:lvl w:ilvl="0" w:tplc="F216FD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512"/>
    <w:multiLevelType w:val="hybridMultilevel"/>
    <w:tmpl w:val="588EC724"/>
    <w:lvl w:ilvl="0" w:tplc="F97E0D52">
      <w:start w:val="1"/>
      <w:numFmt w:val="bullet"/>
      <w:lvlText w:val="-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E3C0EB3"/>
    <w:multiLevelType w:val="hybridMultilevel"/>
    <w:tmpl w:val="61B4B1CA"/>
    <w:lvl w:ilvl="0" w:tplc="0B38CF2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A12E88"/>
    <w:multiLevelType w:val="hybridMultilevel"/>
    <w:tmpl w:val="C76881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4C6"/>
    <w:multiLevelType w:val="hybridMultilevel"/>
    <w:tmpl w:val="15C821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22292"/>
    <w:multiLevelType w:val="hybridMultilevel"/>
    <w:tmpl w:val="4D9CEB18"/>
    <w:lvl w:ilvl="0" w:tplc="1FBCC1AA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953AD0"/>
    <w:multiLevelType w:val="hybridMultilevel"/>
    <w:tmpl w:val="21263B52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6D78736D"/>
    <w:multiLevelType w:val="hybridMultilevel"/>
    <w:tmpl w:val="ED64C2C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16"/>
    <w:rsid w:val="00013614"/>
    <w:rsid w:val="00014D13"/>
    <w:rsid w:val="00025165"/>
    <w:rsid w:val="00026693"/>
    <w:rsid w:val="000300D2"/>
    <w:rsid w:val="00042345"/>
    <w:rsid w:val="0006658F"/>
    <w:rsid w:val="00066C86"/>
    <w:rsid w:val="000753A6"/>
    <w:rsid w:val="00084F78"/>
    <w:rsid w:val="000B67F9"/>
    <w:rsid w:val="000D4881"/>
    <w:rsid w:val="000F66EC"/>
    <w:rsid w:val="00110C20"/>
    <w:rsid w:val="00132B23"/>
    <w:rsid w:val="001335F0"/>
    <w:rsid w:val="00133D29"/>
    <w:rsid w:val="00143677"/>
    <w:rsid w:val="0014411A"/>
    <w:rsid w:val="0015024B"/>
    <w:rsid w:val="00151752"/>
    <w:rsid w:val="00160FAA"/>
    <w:rsid w:val="0016384D"/>
    <w:rsid w:val="00163A47"/>
    <w:rsid w:val="001644B7"/>
    <w:rsid w:val="001644C8"/>
    <w:rsid w:val="00180891"/>
    <w:rsid w:val="001810A8"/>
    <w:rsid w:val="00194561"/>
    <w:rsid w:val="001A5E14"/>
    <w:rsid w:val="001B2287"/>
    <w:rsid w:val="001B7D62"/>
    <w:rsid w:val="001C0665"/>
    <w:rsid w:val="001C783F"/>
    <w:rsid w:val="001E52F2"/>
    <w:rsid w:val="002076F4"/>
    <w:rsid w:val="00220923"/>
    <w:rsid w:val="002215B6"/>
    <w:rsid w:val="00223AB7"/>
    <w:rsid w:val="0022776F"/>
    <w:rsid w:val="00232ACE"/>
    <w:rsid w:val="00243C17"/>
    <w:rsid w:val="002446F2"/>
    <w:rsid w:val="00250561"/>
    <w:rsid w:val="00257A17"/>
    <w:rsid w:val="002636F4"/>
    <w:rsid w:val="00264285"/>
    <w:rsid w:val="00277885"/>
    <w:rsid w:val="002800B0"/>
    <w:rsid w:val="00280C56"/>
    <w:rsid w:val="00282092"/>
    <w:rsid w:val="002823C1"/>
    <w:rsid w:val="002A6C36"/>
    <w:rsid w:val="002C4375"/>
    <w:rsid w:val="002F1B0B"/>
    <w:rsid w:val="0030693B"/>
    <w:rsid w:val="0031116C"/>
    <w:rsid w:val="00311C9C"/>
    <w:rsid w:val="00323358"/>
    <w:rsid w:val="00330D28"/>
    <w:rsid w:val="00334802"/>
    <w:rsid w:val="0033549F"/>
    <w:rsid w:val="00336F4C"/>
    <w:rsid w:val="00342488"/>
    <w:rsid w:val="003439E7"/>
    <w:rsid w:val="0034521E"/>
    <w:rsid w:val="003452DA"/>
    <w:rsid w:val="003775B7"/>
    <w:rsid w:val="003818ED"/>
    <w:rsid w:val="00387059"/>
    <w:rsid w:val="00390C7A"/>
    <w:rsid w:val="00393108"/>
    <w:rsid w:val="00393E3A"/>
    <w:rsid w:val="003A1DD6"/>
    <w:rsid w:val="003A61D8"/>
    <w:rsid w:val="003B7A0B"/>
    <w:rsid w:val="003E7D21"/>
    <w:rsid w:val="003F0916"/>
    <w:rsid w:val="003F2D13"/>
    <w:rsid w:val="003F412B"/>
    <w:rsid w:val="003F5811"/>
    <w:rsid w:val="00402EBA"/>
    <w:rsid w:val="00423644"/>
    <w:rsid w:val="00430B29"/>
    <w:rsid w:val="00435AC7"/>
    <w:rsid w:val="00447442"/>
    <w:rsid w:val="00453D6D"/>
    <w:rsid w:val="00457DC0"/>
    <w:rsid w:val="00461E30"/>
    <w:rsid w:val="0046707F"/>
    <w:rsid w:val="004950B7"/>
    <w:rsid w:val="00496CB3"/>
    <w:rsid w:val="004A01C6"/>
    <w:rsid w:val="004A72FD"/>
    <w:rsid w:val="0050575F"/>
    <w:rsid w:val="005070B3"/>
    <w:rsid w:val="00522EDC"/>
    <w:rsid w:val="00525E10"/>
    <w:rsid w:val="00541369"/>
    <w:rsid w:val="00550B27"/>
    <w:rsid w:val="00555FEC"/>
    <w:rsid w:val="0057478C"/>
    <w:rsid w:val="00583F33"/>
    <w:rsid w:val="00594BA0"/>
    <w:rsid w:val="00594D3F"/>
    <w:rsid w:val="005A18CE"/>
    <w:rsid w:val="005B79A4"/>
    <w:rsid w:val="005C165A"/>
    <w:rsid w:val="005C45EB"/>
    <w:rsid w:val="005C63B5"/>
    <w:rsid w:val="005E108E"/>
    <w:rsid w:val="005F7DFF"/>
    <w:rsid w:val="00603E16"/>
    <w:rsid w:val="00611D03"/>
    <w:rsid w:val="00623BBE"/>
    <w:rsid w:val="00624838"/>
    <w:rsid w:val="00635D5D"/>
    <w:rsid w:val="0067289E"/>
    <w:rsid w:val="006730FF"/>
    <w:rsid w:val="0067544A"/>
    <w:rsid w:val="00684F1A"/>
    <w:rsid w:val="00687DDE"/>
    <w:rsid w:val="006A60E5"/>
    <w:rsid w:val="006A79E6"/>
    <w:rsid w:val="006B633F"/>
    <w:rsid w:val="006C6036"/>
    <w:rsid w:val="006E3282"/>
    <w:rsid w:val="006E34A3"/>
    <w:rsid w:val="006E65D3"/>
    <w:rsid w:val="00702778"/>
    <w:rsid w:val="00702F33"/>
    <w:rsid w:val="00725FBB"/>
    <w:rsid w:val="00741082"/>
    <w:rsid w:val="00743601"/>
    <w:rsid w:val="007444CF"/>
    <w:rsid w:val="007504B9"/>
    <w:rsid w:val="00751274"/>
    <w:rsid w:val="00751BBC"/>
    <w:rsid w:val="00751D5F"/>
    <w:rsid w:val="00752CCC"/>
    <w:rsid w:val="0076419E"/>
    <w:rsid w:val="00770766"/>
    <w:rsid w:val="00786635"/>
    <w:rsid w:val="00791E5D"/>
    <w:rsid w:val="007B084B"/>
    <w:rsid w:val="007B3816"/>
    <w:rsid w:val="007C0370"/>
    <w:rsid w:val="007C36D2"/>
    <w:rsid w:val="007C4B12"/>
    <w:rsid w:val="007E29C4"/>
    <w:rsid w:val="007F4CB5"/>
    <w:rsid w:val="00806832"/>
    <w:rsid w:val="0081042E"/>
    <w:rsid w:val="0083720E"/>
    <w:rsid w:val="008436EE"/>
    <w:rsid w:val="00843728"/>
    <w:rsid w:val="00845726"/>
    <w:rsid w:val="00860513"/>
    <w:rsid w:val="00860BB1"/>
    <w:rsid w:val="00875A7A"/>
    <w:rsid w:val="00882971"/>
    <w:rsid w:val="00887E0E"/>
    <w:rsid w:val="008A1DE5"/>
    <w:rsid w:val="008A3119"/>
    <w:rsid w:val="008A44AC"/>
    <w:rsid w:val="008A7B25"/>
    <w:rsid w:val="008B1824"/>
    <w:rsid w:val="008B6933"/>
    <w:rsid w:val="008C0D01"/>
    <w:rsid w:val="008C192B"/>
    <w:rsid w:val="008D04CC"/>
    <w:rsid w:val="008D14C7"/>
    <w:rsid w:val="008F5023"/>
    <w:rsid w:val="008F7C58"/>
    <w:rsid w:val="009028CA"/>
    <w:rsid w:val="00902C20"/>
    <w:rsid w:val="00925B49"/>
    <w:rsid w:val="00925E3A"/>
    <w:rsid w:val="009260F2"/>
    <w:rsid w:val="00926308"/>
    <w:rsid w:val="00930ED6"/>
    <w:rsid w:val="00934F51"/>
    <w:rsid w:val="00936EDB"/>
    <w:rsid w:val="00952692"/>
    <w:rsid w:val="00955AE8"/>
    <w:rsid w:val="00957263"/>
    <w:rsid w:val="009607B9"/>
    <w:rsid w:val="0097093B"/>
    <w:rsid w:val="00975206"/>
    <w:rsid w:val="009B18FC"/>
    <w:rsid w:val="009B2260"/>
    <w:rsid w:val="009D0984"/>
    <w:rsid w:val="00A00A02"/>
    <w:rsid w:val="00A01185"/>
    <w:rsid w:val="00A02D57"/>
    <w:rsid w:val="00A0631A"/>
    <w:rsid w:val="00A1760C"/>
    <w:rsid w:val="00A24372"/>
    <w:rsid w:val="00A26FC1"/>
    <w:rsid w:val="00A45A5F"/>
    <w:rsid w:val="00A557D9"/>
    <w:rsid w:val="00A624B8"/>
    <w:rsid w:val="00A80348"/>
    <w:rsid w:val="00A86CE5"/>
    <w:rsid w:val="00A97FC8"/>
    <w:rsid w:val="00AD0194"/>
    <w:rsid w:val="00AD1C3A"/>
    <w:rsid w:val="00AE766D"/>
    <w:rsid w:val="00B01322"/>
    <w:rsid w:val="00B022FD"/>
    <w:rsid w:val="00B03170"/>
    <w:rsid w:val="00B26CFE"/>
    <w:rsid w:val="00B32ACA"/>
    <w:rsid w:val="00B36A4D"/>
    <w:rsid w:val="00B37093"/>
    <w:rsid w:val="00B42582"/>
    <w:rsid w:val="00B4491F"/>
    <w:rsid w:val="00B50C56"/>
    <w:rsid w:val="00B815A4"/>
    <w:rsid w:val="00BA3806"/>
    <w:rsid w:val="00BA443C"/>
    <w:rsid w:val="00BA4944"/>
    <w:rsid w:val="00BB102B"/>
    <w:rsid w:val="00BE1DC0"/>
    <w:rsid w:val="00BE3615"/>
    <w:rsid w:val="00C0323C"/>
    <w:rsid w:val="00C07965"/>
    <w:rsid w:val="00C172DB"/>
    <w:rsid w:val="00C2388E"/>
    <w:rsid w:val="00C37144"/>
    <w:rsid w:val="00C41D05"/>
    <w:rsid w:val="00C44748"/>
    <w:rsid w:val="00C54FE8"/>
    <w:rsid w:val="00CA3373"/>
    <w:rsid w:val="00CB6CD4"/>
    <w:rsid w:val="00CD3480"/>
    <w:rsid w:val="00CE5C74"/>
    <w:rsid w:val="00CF24D7"/>
    <w:rsid w:val="00CF6A8E"/>
    <w:rsid w:val="00D03818"/>
    <w:rsid w:val="00D314E5"/>
    <w:rsid w:val="00D3474A"/>
    <w:rsid w:val="00D35A49"/>
    <w:rsid w:val="00D52902"/>
    <w:rsid w:val="00D57781"/>
    <w:rsid w:val="00D61574"/>
    <w:rsid w:val="00D64E53"/>
    <w:rsid w:val="00D75C68"/>
    <w:rsid w:val="00D801F2"/>
    <w:rsid w:val="00D94A50"/>
    <w:rsid w:val="00DB4433"/>
    <w:rsid w:val="00DB59A1"/>
    <w:rsid w:val="00DC16DC"/>
    <w:rsid w:val="00DC42A3"/>
    <w:rsid w:val="00DD6C41"/>
    <w:rsid w:val="00E06A67"/>
    <w:rsid w:val="00E30CFD"/>
    <w:rsid w:val="00E32568"/>
    <w:rsid w:val="00E366E5"/>
    <w:rsid w:val="00E40523"/>
    <w:rsid w:val="00E40A1C"/>
    <w:rsid w:val="00E41F30"/>
    <w:rsid w:val="00E52971"/>
    <w:rsid w:val="00E77E95"/>
    <w:rsid w:val="00EA7C61"/>
    <w:rsid w:val="00EB2897"/>
    <w:rsid w:val="00EB7C56"/>
    <w:rsid w:val="00EC2C9B"/>
    <w:rsid w:val="00ED02B1"/>
    <w:rsid w:val="00ED6CB3"/>
    <w:rsid w:val="00ED79AD"/>
    <w:rsid w:val="00EE6FD2"/>
    <w:rsid w:val="00EF00CB"/>
    <w:rsid w:val="00F00C26"/>
    <w:rsid w:val="00F0563E"/>
    <w:rsid w:val="00F070A8"/>
    <w:rsid w:val="00F200EC"/>
    <w:rsid w:val="00F30214"/>
    <w:rsid w:val="00F3303A"/>
    <w:rsid w:val="00F73DF1"/>
    <w:rsid w:val="00F7641A"/>
    <w:rsid w:val="00F85016"/>
    <w:rsid w:val="00F96F07"/>
    <w:rsid w:val="00FB648F"/>
    <w:rsid w:val="00FB7F57"/>
    <w:rsid w:val="00FC1127"/>
    <w:rsid w:val="00FD179F"/>
    <w:rsid w:val="00FD2B79"/>
    <w:rsid w:val="00FE6617"/>
    <w:rsid w:val="00FF06CE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B3227505-A030-4AEC-9906-AB07B205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03E16"/>
    <w:pPr>
      <w:autoSpaceDE w:val="0"/>
      <w:autoSpaceDN w:val="0"/>
      <w:adjustRightInd w:val="0"/>
      <w:spacing w:after="0" w:line="240" w:lineRule="auto"/>
    </w:pPr>
    <w:rPr>
      <w:rFonts w:ascii="Stone Sans II ITC Std" w:hAnsi="Stone Sans II ITC Std" w:cs="Stone Sans II ITC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03E1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03E16"/>
    <w:rPr>
      <w:rFonts w:cs="Stone Sans II ITC Std"/>
      <w:color w:val="221E1F"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E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E16"/>
  </w:style>
  <w:style w:type="paragraph" w:styleId="Pieddepage">
    <w:name w:val="footer"/>
    <w:basedOn w:val="Normal"/>
    <w:link w:val="PieddepageCar"/>
    <w:uiPriority w:val="99"/>
    <w:unhideWhenUsed/>
    <w:rsid w:val="006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E16"/>
  </w:style>
  <w:style w:type="table" w:styleId="Trameclaire-Accent2">
    <w:name w:val="Light Shading Accent 2"/>
    <w:basedOn w:val="TableauNormal"/>
    <w:uiPriority w:val="60"/>
    <w:rsid w:val="003A61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280C56"/>
    <w:rPr>
      <w:color w:val="0000FF" w:themeColor="hyperlink"/>
      <w:u w:val="single"/>
    </w:rPr>
  </w:style>
  <w:style w:type="table" w:styleId="Tramemoyenne1-Accent2">
    <w:name w:val="Medium Shading 1 Accent 2"/>
    <w:basedOn w:val="TableauNormal"/>
    <w:uiPriority w:val="63"/>
    <w:rsid w:val="00CF6A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CF6A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461E3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2">
    <w:name w:val="Light Grid Accent 2"/>
    <w:basedOn w:val="TableauNormal"/>
    <w:uiPriority w:val="62"/>
    <w:rsid w:val="008C19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dutableau">
    <w:name w:val="Table Grid"/>
    <w:basedOn w:val="TableauNormal"/>
    <w:uiPriority w:val="59"/>
    <w:rsid w:val="00F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06CE"/>
    <w:pPr>
      <w:ind w:left="720"/>
      <w:contextualSpacing/>
    </w:pPr>
  </w:style>
  <w:style w:type="table" w:styleId="Listeclaire-Accent2">
    <w:name w:val="Light List Accent 2"/>
    <w:basedOn w:val="TableauNormal"/>
    <w:uiPriority w:val="61"/>
    <w:rsid w:val="00FF06C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Numrodepage">
    <w:name w:val="page number"/>
    <w:basedOn w:val="Policepardfaut"/>
    <w:uiPriority w:val="99"/>
    <w:unhideWhenUsed/>
    <w:rsid w:val="002215B6"/>
  </w:style>
  <w:style w:type="character" w:customStyle="1" w:styleId="menublacknormal1">
    <w:name w:val="menublacknormal1"/>
    <w:basedOn w:val="Policepardfaut"/>
    <w:rsid w:val="00CF24D7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B707A1-7237-4B7A-97E2-C976F02B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    CCIH</vt:lpstr>
    </vt:vector>
  </TitlesOfParts>
  <Company>HEBERGEMENT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   CCIH</dc:title>
  <dc:creator>Utilisateur</dc:creator>
  <cp:lastModifiedBy>Raymonde SINGELE</cp:lastModifiedBy>
  <cp:revision>2</cp:revision>
  <cp:lastPrinted>2019-05-15T10:48:00Z</cp:lastPrinted>
  <dcterms:created xsi:type="dcterms:W3CDTF">2020-03-30T11:06:00Z</dcterms:created>
  <dcterms:modified xsi:type="dcterms:W3CDTF">2020-03-30T11:06:00Z</dcterms:modified>
</cp:coreProperties>
</file>