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8E" w:rsidRPr="0067544A" w:rsidRDefault="008C192B" w:rsidP="00541369">
      <w:pPr>
        <w:pStyle w:val="Pa1"/>
        <w:ind w:right="-567"/>
        <w:rPr>
          <w:rFonts w:asciiTheme="minorHAnsi" w:hAnsiTheme="minorHAnsi" w:cs="Stone Sans II ITC Std"/>
          <w:b/>
          <w:bCs/>
          <w:color w:val="221E1F"/>
          <w:sz w:val="20"/>
          <w:szCs w:val="20"/>
        </w:rPr>
      </w:pPr>
      <w:r w:rsidRPr="0067544A">
        <w:rPr>
          <w:rFonts w:asciiTheme="minorHAnsi" w:hAnsiTheme="minorHAnsi" w:cs="Stone Sans II ITC Std"/>
          <w:b/>
          <w:bCs/>
          <w:noProof/>
          <w:color w:val="221E1F"/>
          <w:sz w:val="20"/>
          <w:szCs w:val="20"/>
          <w:lang w:eastAsia="fr-CH"/>
        </w:rPr>
        <mc:AlternateContent>
          <mc:Choice Requires="wps">
            <w:drawing>
              <wp:anchor distT="0" distB="0" distL="114300" distR="114300" simplePos="0" relativeHeight="251659264" behindDoc="0" locked="0" layoutInCell="1" allowOverlap="1" wp14:anchorId="79E9C3C9" wp14:editId="1808E058">
                <wp:simplePos x="0" y="0"/>
                <wp:positionH relativeFrom="column">
                  <wp:posOffset>-82235</wp:posOffset>
                </wp:positionH>
                <wp:positionV relativeFrom="paragraph">
                  <wp:posOffset>24081</wp:posOffset>
                </wp:positionV>
                <wp:extent cx="0" cy="599893"/>
                <wp:effectExtent l="76200" t="19050" r="76200" b="67310"/>
                <wp:wrapNone/>
                <wp:docPr id="1" name="Connecteur droit 1"/>
                <wp:cNvGraphicFramePr/>
                <a:graphic xmlns:a="http://schemas.openxmlformats.org/drawingml/2006/main">
                  <a:graphicData uri="http://schemas.microsoft.com/office/word/2010/wordprocessingShape">
                    <wps:wsp>
                      <wps:cNvCnPr/>
                      <wps:spPr>
                        <a:xfrm>
                          <a:off x="0" y="0"/>
                          <a:ext cx="0" cy="599893"/>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w14:anchorId="4F38BA5A"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9pt" to="-6.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" strokecolor="#c0504d [3205]" strokeweight="3pt">
                <v:shadow on="t" color="black" opacity="22937f" origin=",.5" offset="0,.63889mm"/>
              </v:line>
            </w:pict>
          </mc:Fallback>
        </mc:AlternateContent>
      </w:r>
      <w:r w:rsidR="00CF6A8E" w:rsidRPr="0067544A">
        <w:rPr>
          <w:rFonts w:asciiTheme="minorHAnsi" w:hAnsiTheme="minorHAnsi" w:cs="Stone Sans II ITC Std"/>
          <w:b/>
          <w:bCs/>
          <w:color w:val="221E1F"/>
          <w:sz w:val="20"/>
          <w:szCs w:val="20"/>
        </w:rPr>
        <w:t>D</w:t>
      </w:r>
      <w:r w:rsidRPr="0067544A">
        <w:rPr>
          <w:rFonts w:asciiTheme="minorHAnsi" w:hAnsiTheme="minorHAnsi" w:cs="Stone Sans II ITC Std"/>
          <w:b/>
          <w:bCs/>
          <w:color w:val="221E1F"/>
          <w:sz w:val="20"/>
          <w:szCs w:val="20"/>
        </w:rPr>
        <w:t xml:space="preserve">ans cette </w:t>
      </w:r>
      <w:r w:rsidR="000300D2" w:rsidRPr="0067544A">
        <w:rPr>
          <w:rFonts w:asciiTheme="minorHAnsi" w:hAnsiTheme="minorHAnsi" w:cs="Stone Sans II ITC Std"/>
          <w:b/>
          <w:bCs/>
          <w:color w:val="221E1F"/>
          <w:sz w:val="20"/>
          <w:szCs w:val="20"/>
        </w:rPr>
        <w:t>« </w:t>
      </w:r>
      <w:r w:rsidR="006E3282">
        <w:rPr>
          <w:rFonts w:asciiTheme="minorHAnsi" w:hAnsiTheme="minorHAnsi" w:cs="Stone Sans II ITC Std"/>
          <w:b/>
          <w:bCs/>
          <w:color w:val="221E1F"/>
          <w:sz w:val="20"/>
          <w:szCs w:val="20"/>
        </w:rPr>
        <w:t xml:space="preserve">info </w:t>
      </w:r>
      <w:r w:rsidRPr="0067544A">
        <w:rPr>
          <w:rFonts w:asciiTheme="minorHAnsi" w:hAnsiTheme="minorHAnsi" w:cs="Stone Sans II ITC Std"/>
          <w:b/>
          <w:bCs/>
          <w:color w:val="221E1F"/>
          <w:sz w:val="20"/>
          <w:szCs w:val="20"/>
        </w:rPr>
        <w:t>CCIH</w:t>
      </w:r>
      <w:r w:rsidR="000300D2" w:rsidRPr="0067544A">
        <w:rPr>
          <w:rFonts w:asciiTheme="minorHAnsi" w:hAnsiTheme="minorHAnsi" w:cs="Stone Sans II ITC Std"/>
          <w:b/>
          <w:bCs/>
          <w:color w:val="221E1F"/>
          <w:sz w:val="20"/>
          <w:szCs w:val="20"/>
        </w:rPr>
        <w:t> »</w:t>
      </w:r>
    </w:p>
    <w:p w:rsidR="00CF6A8E" w:rsidRDefault="008A3119" w:rsidP="00860BB1">
      <w:pPr>
        <w:pStyle w:val="Default"/>
        <w:ind w:right="-567"/>
        <w:rPr>
          <w:rFonts w:asciiTheme="minorHAnsi" w:hAnsiTheme="minorHAnsi"/>
          <w:sz w:val="16"/>
          <w:szCs w:val="16"/>
        </w:rPr>
      </w:pPr>
      <w:r>
        <w:rPr>
          <w:rFonts w:asciiTheme="minorHAnsi" w:hAnsiTheme="minorHAnsi"/>
          <w:sz w:val="16"/>
          <w:szCs w:val="16"/>
        </w:rPr>
        <w:t xml:space="preserve"> En bref…</w:t>
      </w:r>
    </w:p>
    <w:p w:rsidR="008A3119" w:rsidRPr="0067544A" w:rsidRDefault="008A3119" w:rsidP="00860BB1">
      <w:pPr>
        <w:pStyle w:val="Default"/>
        <w:ind w:right="-567"/>
        <w:rPr>
          <w:rFonts w:asciiTheme="minorHAnsi" w:hAnsiTheme="minorHAnsi"/>
          <w:sz w:val="16"/>
          <w:szCs w:val="16"/>
        </w:rPr>
      </w:pPr>
      <w:r>
        <w:rPr>
          <w:rFonts w:asciiTheme="minorHAnsi" w:hAnsiTheme="minorHAnsi"/>
          <w:sz w:val="16"/>
          <w:szCs w:val="16"/>
        </w:rPr>
        <w:t xml:space="preserve"> Précisions</w:t>
      </w:r>
    </w:p>
    <w:p w:rsidR="00084F78" w:rsidRDefault="00084F78" w:rsidP="00084F78">
      <w:pPr>
        <w:pStyle w:val="Pa1"/>
        <w:spacing w:before="240" w:line="240" w:lineRule="auto"/>
        <w:ind w:right="-567"/>
        <w:jc w:val="both"/>
        <w:rPr>
          <w:rFonts w:asciiTheme="minorHAnsi" w:hAnsiTheme="minorHAnsi" w:cs="Stone Sans II ITC Std"/>
          <w:b/>
          <w:bCs/>
          <w:color w:val="943634" w:themeColor="accent2" w:themeShade="BF"/>
          <w:sz w:val="44"/>
          <w:szCs w:val="44"/>
        </w:rPr>
      </w:pPr>
      <w:r>
        <w:rPr>
          <w:rFonts w:asciiTheme="minorHAnsi" w:hAnsiTheme="minorHAnsi" w:cs="Stone Sans II ITC Std"/>
          <w:b/>
          <w:bCs/>
          <w:color w:val="943634" w:themeColor="accent2" w:themeShade="BF"/>
          <w:sz w:val="44"/>
          <w:szCs w:val="44"/>
        </w:rPr>
        <w:t>COVID-19 :</w:t>
      </w:r>
    </w:p>
    <w:p w:rsidR="00860BB1" w:rsidRPr="0067544A" w:rsidRDefault="00507FB3" w:rsidP="00084F78">
      <w:pPr>
        <w:pStyle w:val="Pa1"/>
        <w:ind w:right="-567"/>
        <w:jc w:val="both"/>
        <w:rPr>
          <w:rFonts w:asciiTheme="minorHAnsi" w:hAnsiTheme="minorHAnsi" w:cs="Stone Sans II ITC Std"/>
          <w:b/>
          <w:bCs/>
          <w:color w:val="943634" w:themeColor="accent2" w:themeShade="BF"/>
          <w:sz w:val="44"/>
          <w:szCs w:val="44"/>
        </w:rPr>
      </w:pPr>
      <w:r>
        <w:rPr>
          <w:rFonts w:asciiTheme="minorHAnsi" w:hAnsiTheme="minorHAnsi" w:cs="Stone Sans II ITC Std"/>
          <w:b/>
          <w:bCs/>
          <w:color w:val="943634" w:themeColor="accent2" w:themeShade="BF"/>
          <w:sz w:val="44"/>
          <w:szCs w:val="44"/>
        </w:rPr>
        <w:t>A</w:t>
      </w:r>
      <w:r w:rsidR="00E52971">
        <w:rPr>
          <w:rFonts w:asciiTheme="minorHAnsi" w:hAnsiTheme="minorHAnsi" w:cs="Stone Sans II ITC Std"/>
          <w:b/>
          <w:bCs/>
          <w:color w:val="943634" w:themeColor="accent2" w:themeShade="BF"/>
          <w:sz w:val="44"/>
          <w:szCs w:val="44"/>
        </w:rPr>
        <w:t>llègements de la perception des cotisations AVS</w:t>
      </w:r>
    </w:p>
    <w:p w:rsidR="00F7641A" w:rsidRPr="0067544A" w:rsidRDefault="00F96F07" w:rsidP="00860BB1">
      <w:pPr>
        <w:pStyle w:val="Pa1"/>
        <w:ind w:right="-567"/>
        <w:rPr>
          <w:rFonts w:asciiTheme="minorHAnsi" w:hAnsiTheme="minorHAnsi" w:cs="Stone Sans II ITC Std"/>
          <w:b/>
          <w:bCs/>
          <w:color w:val="221E1F"/>
          <w:sz w:val="36"/>
          <w:szCs w:val="36"/>
        </w:rPr>
      </w:pPr>
      <w:r>
        <w:rPr>
          <w:rFonts w:asciiTheme="minorHAnsi" w:hAnsiTheme="minorHAnsi" w:cs="Stone Sans II ITC Std"/>
          <w:b/>
          <w:bCs/>
          <w:color w:val="221E1F"/>
          <w:sz w:val="36"/>
          <w:szCs w:val="36"/>
        </w:rPr>
        <w:t>Procédure</w:t>
      </w:r>
      <w:r w:rsidR="00E40A1C">
        <w:rPr>
          <w:rFonts w:asciiTheme="minorHAnsi" w:hAnsiTheme="minorHAnsi" w:cs="Stone Sans II ITC Std"/>
          <w:b/>
          <w:bCs/>
          <w:color w:val="221E1F"/>
          <w:sz w:val="36"/>
          <w:szCs w:val="36"/>
        </w:rPr>
        <w:t>s</w:t>
      </w:r>
      <w:r>
        <w:rPr>
          <w:rFonts w:asciiTheme="minorHAnsi" w:hAnsiTheme="minorHAnsi" w:cs="Stone Sans II ITC Std"/>
          <w:b/>
          <w:bCs/>
          <w:color w:val="221E1F"/>
          <w:sz w:val="36"/>
          <w:szCs w:val="36"/>
        </w:rPr>
        <w:t xml:space="preserve"> et éclaircissements</w:t>
      </w:r>
    </w:p>
    <w:p w:rsidR="00860BB1" w:rsidRPr="0067544A" w:rsidRDefault="00860BB1" w:rsidP="00860BB1">
      <w:pPr>
        <w:pStyle w:val="Default"/>
        <w:rPr>
          <w:rFonts w:asciiTheme="minorHAnsi" w:hAnsiTheme="minorHAnsi"/>
        </w:rPr>
      </w:pPr>
    </w:p>
    <w:p w:rsidR="0076419E" w:rsidRDefault="00624838" w:rsidP="0076419E">
      <w:pPr>
        <w:pStyle w:val="Pa1"/>
        <w:ind w:right="-567"/>
        <w:jc w:val="both"/>
        <w:rPr>
          <w:rStyle w:val="A2"/>
          <w:rFonts w:asciiTheme="minorHAnsi" w:hAnsiTheme="minorHAnsi"/>
          <w:b/>
          <w:bCs/>
          <w:sz w:val="24"/>
          <w:szCs w:val="24"/>
        </w:rPr>
      </w:pPr>
      <w:r w:rsidRPr="00FB648F">
        <w:rPr>
          <w:rStyle w:val="A2"/>
          <w:rFonts w:asciiTheme="minorHAnsi" w:hAnsiTheme="minorHAnsi"/>
          <w:b/>
          <w:bCs/>
          <w:sz w:val="24"/>
          <w:szCs w:val="24"/>
        </w:rPr>
        <w:t>En bref…</w:t>
      </w:r>
    </w:p>
    <w:p w:rsidR="00C41D05" w:rsidRPr="00C172DB" w:rsidRDefault="00C41D05" w:rsidP="00C41D05">
      <w:pPr>
        <w:pStyle w:val="Default"/>
        <w:rPr>
          <w:sz w:val="12"/>
          <w:szCs w:val="12"/>
        </w:rPr>
      </w:pPr>
    </w:p>
    <w:p w:rsidR="0076419E" w:rsidRPr="00822A79" w:rsidRDefault="0076419E" w:rsidP="00C41D05">
      <w:pPr>
        <w:pStyle w:val="Paragraphedeliste"/>
        <w:numPr>
          <w:ilvl w:val="0"/>
          <w:numId w:val="10"/>
        </w:numPr>
        <w:autoSpaceDE w:val="0"/>
        <w:autoSpaceDN w:val="0"/>
        <w:adjustRightInd w:val="0"/>
        <w:spacing w:after="0" w:line="240" w:lineRule="auto"/>
        <w:ind w:left="284" w:hanging="284"/>
        <w:jc w:val="both"/>
        <w:rPr>
          <w:rFonts w:cstheme="minorHAnsi"/>
          <w:color w:val="000000"/>
          <w:sz w:val="19"/>
          <w:szCs w:val="19"/>
        </w:rPr>
      </w:pPr>
      <w:r w:rsidRPr="00C172DB">
        <w:rPr>
          <w:rFonts w:cstheme="minorHAnsi"/>
          <w:bCs/>
          <w:color w:val="000000"/>
          <w:sz w:val="19"/>
          <w:szCs w:val="19"/>
        </w:rPr>
        <w:t xml:space="preserve">Les </w:t>
      </w:r>
      <w:r w:rsidRPr="00822A79">
        <w:rPr>
          <w:rFonts w:cstheme="minorHAnsi"/>
          <w:bCs/>
          <w:color w:val="000000"/>
          <w:sz w:val="19"/>
          <w:szCs w:val="19"/>
        </w:rPr>
        <w:t>allègements d</w:t>
      </w:r>
      <w:r w:rsidR="00ED7877" w:rsidRPr="00822A79">
        <w:rPr>
          <w:rFonts w:cstheme="minorHAnsi"/>
          <w:bCs/>
          <w:color w:val="000000"/>
          <w:sz w:val="19"/>
          <w:szCs w:val="19"/>
        </w:rPr>
        <w:t>e</w:t>
      </w:r>
      <w:r w:rsidRPr="00822A79">
        <w:rPr>
          <w:rFonts w:cstheme="minorHAnsi"/>
          <w:bCs/>
          <w:color w:val="000000"/>
          <w:sz w:val="19"/>
          <w:szCs w:val="19"/>
        </w:rPr>
        <w:t xml:space="preserve"> la perception des cotisations AVS sont applicables selon l’ordonnance</w:t>
      </w:r>
      <w:r w:rsidR="00ED7877" w:rsidRPr="00822A79">
        <w:rPr>
          <w:rFonts w:cstheme="minorHAnsi"/>
          <w:bCs/>
          <w:color w:val="000000"/>
          <w:sz w:val="19"/>
          <w:szCs w:val="19"/>
        </w:rPr>
        <w:t xml:space="preserve"> </w:t>
      </w:r>
      <w:r w:rsidR="00F95449" w:rsidRPr="00822A79">
        <w:rPr>
          <w:rFonts w:cstheme="minorHAnsi"/>
          <w:bCs/>
          <w:color w:val="000000"/>
          <w:sz w:val="19"/>
          <w:szCs w:val="19"/>
        </w:rPr>
        <w:t xml:space="preserve">du 20 mars </w:t>
      </w:r>
      <w:r w:rsidR="00ED7877" w:rsidRPr="00822A79">
        <w:rPr>
          <w:rFonts w:cstheme="minorHAnsi"/>
          <w:bCs/>
          <w:color w:val="000000"/>
          <w:sz w:val="19"/>
          <w:szCs w:val="19"/>
        </w:rPr>
        <w:t>du Conseil fédéral</w:t>
      </w:r>
      <w:r w:rsidRPr="00822A79">
        <w:rPr>
          <w:rFonts w:cstheme="minorHAnsi"/>
          <w:bCs/>
          <w:color w:val="000000"/>
          <w:sz w:val="19"/>
          <w:szCs w:val="19"/>
        </w:rPr>
        <w:t xml:space="preserve">, pendant 6 mois à compter du 21 mars 2020. </w:t>
      </w:r>
      <w:r w:rsidRPr="00822A79">
        <w:rPr>
          <w:rFonts w:cstheme="minorHAnsi"/>
          <w:b/>
          <w:bCs/>
          <w:color w:val="000000"/>
          <w:sz w:val="19"/>
          <w:szCs w:val="19"/>
        </w:rPr>
        <w:t>Ensuite, toutes les modifications qu’elle contient seront supprimées</w:t>
      </w:r>
      <w:r w:rsidRPr="00822A79">
        <w:rPr>
          <w:rFonts w:cstheme="minorHAnsi"/>
          <w:bCs/>
          <w:color w:val="000000"/>
          <w:sz w:val="19"/>
          <w:szCs w:val="19"/>
        </w:rPr>
        <w:t xml:space="preserve">. </w:t>
      </w:r>
    </w:p>
    <w:p w:rsidR="0081042E" w:rsidRPr="00822A79" w:rsidRDefault="0081042E" w:rsidP="0081042E">
      <w:pPr>
        <w:autoSpaceDE w:val="0"/>
        <w:autoSpaceDN w:val="0"/>
        <w:adjustRightInd w:val="0"/>
        <w:spacing w:after="0" w:line="240" w:lineRule="auto"/>
        <w:jc w:val="both"/>
        <w:rPr>
          <w:rFonts w:cstheme="minorHAnsi"/>
          <w:color w:val="000000"/>
          <w:sz w:val="12"/>
          <w:szCs w:val="12"/>
        </w:rPr>
      </w:pPr>
    </w:p>
    <w:p w:rsidR="0076419E" w:rsidRPr="00822A79" w:rsidRDefault="0081042E" w:rsidP="0081042E">
      <w:pPr>
        <w:pStyle w:val="Paragraphedeliste"/>
        <w:numPr>
          <w:ilvl w:val="0"/>
          <w:numId w:val="10"/>
        </w:numPr>
        <w:autoSpaceDE w:val="0"/>
        <w:autoSpaceDN w:val="0"/>
        <w:adjustRightInd w:val="0"/>
        <w:spacing w:after="0" w:line="240" w:lineRule="auto"/>
        <w:ind w:left="284" w:hanging="284"/>
        <w:jc w:val="both"/>
        <w:rPr>
          <w:rFonts w:cstheme="minorHAnsi"/>
          <w:color w:val="000000"/>
          <w:sz w:val="19"/>
          <w:szCs w:val="19"/>
        </w:rPr>
      </w:pPr>
      <w:r w:rsidRPr="00822A79">
        <w:rPr>
          <w:rFonts w:cstheme="minorHAnsi"/>
          <w:b/>
          <w:bCs/>
          <w:color w:val="000000"/>
          <w:sz w:val="19"/>
          <w:szCs w:val="19"/>
        </w:rPr>
        <w:t>Toutes les cotisations AVS restent dues sans restriction</w:t>
      </w:r>
      <w:r w:rsidRPr="00822A79">
        <w:rPr>
          <w:rFonts w:cstheme="minorHAnsi"/>
          <w:bCs/>
          <w:color w:val="000000"/>
          <w:sz w:val="19"/>
          <w:szCs w:val="19"/>
        </w:rPr>
        <w:t xml:space="preserve">. Seule la procédure de contentieux et de poursuite ainsi que le calcul des intérêts moratoires sont provisoirement ajustés. </w:t>
      </w:r>
    </w:p>
    <w:p w:rsidR="00C41D05" w:rsidRPr="00822A79" w:rsidRDefault="00C41D05" w:rsidP="00C41D05">
      <w:pPr>
        <w:autoSpaceDE w:val="0"/>
        <w:autoSpaceDN w:val="0"/>
        <w:adjustRightInd w:val="0"/>
        <w:spacing w:after="0" w:line="240" w:lineRule="auto"/>
        <w:jc w:val="both"/>
        <w:rPr>
          <w:rFonts w:cstheme="minorHAnsi"/>
          <w:color w:val="000000"/>
          <w:sz w:val="12"/>
          <w:szCs w:val="12"/>
        </w:rPr>
      </w:pPr>
    </w:p>
    <w:p w:rsidR="0076419E" w:rsidRPr="00C172DB" w:rsidRDefault="00C172DB" w:rsidP="00C41D05">
      <w:pPr>
        <w:pStyle w:val="Paragraphedeliste"/>
        <w:numPr>
          <w:ilvl w:val="0"/>
          <w:numId w:val="10"/>
        </w:numPr>
        <w:autoSpaceDE w:val="0"/>
        <w:autoSpaceDN w:val="0"/>
        <w:adjustRightInd w:val="0"/>
        <w:spacing w:after="0" w:line="240" w:lineRule="auto"/>
        <w:ind w:left="284" w:hanging="284"/>
        <w:jc w:val="both"/>
        <w:rPr>
          <w:rStyle w:val="A2"/>
          <w:rFonts w:cstheme="minorHAnsi"/>
          <w:color w:val="000000"/>
        </w:rPr>
      </w:pPr>
      <w:r w:rsidRPr="00822A79">
        <w:rPr>
          <w:rFonts w:cstheme="minorHAnsi"/>
          <w:bCs/>
          <w:color w:val="000000"/>
          <w:sz w:val="19"/>
          <w:szCs w:val="19"/>
        </w:rPr>
        <w:t>Dans</w:t>
      </w:r>
      <w:r w:rsidR="0076419E" w:rsidRPr="00822A79">
        <w:rPr>
          <w:rFonts w:cstheme="minorHAnsi"/>
          <w:bCs/>
          <w:color w:val="000000"/>
          <w:sz w:val="19"/>
          <w:szCs w:val="19"/>
        </w:rPr>
        <w:t xml:space="preserve"> le cadre des allègements </w:t>
      </w:r>
      <w:r w:rsidR="00ED7877" w:rsidRPr="00822A79">
        <w:rPr>
          <w:rFonts w:cstheme="minorHAnsi"/>
          <w:bCs/>
          <w:color w:val="000000"/>
          <w:sz w:val="19"/>
          <w:szCs w:val="19"/>
        </w:rPr>
        <w:t>de la</w:t>
      </w:r>
      <w:r w:rsidR="0076419E" w:rsidRPr="00C172DB">
        <w:rPr>
          <w:rFonts w:cstheme="minorHAnsi"/>
          <w:bCs/>
          <w:color w:val="000000"/>
          <w:sz w:val="19"/>
          <w:szCs w:val="19"/>
        </w:rPr>
        <w:t xml:space="preserve"> perception des cotisations AVS et </w:t>
      </w:r>
      <w:r w:rsidR="0076419E" w:rsidRPr="00C172DB">
        <w:rPr>
          <w:rFonts w:cstheme="minorHAnsi"/>
          <w:b/>
          <w:bCs/>
          <w:color w:val="000000"/>
          <w:sz w:val="19"/>
          <w:szCs w:val="19"/>
        </w:rPr>
        <w:t>à titre de mesure administrative extraordinaire, le taux d’intérêt</w:t>
      </w:r>
      <w:r>
        <w:rPr>
          <w:rFonts w:cstheme="minorHAnsi"/>
          <w:b/>
          <w:bCs/>
          <w:color w:val="000000"/>
          <w:sz w:val="19"/>
          <w:szCs w:val="19"/>
        </w:rPr>
        <w:t xml:space="preserve"> moratoire</w:t>
      </w:r>
      <w:r w:rsidR="0076419E" w:rsidRPr="00C172DB">
        <w:rPr>
          <w:rFonts w:cstheme="minorHAnsi"/>
          <w:b/>
          <w:bCs/>
          <w:color w:val="000000"/>
          <w:sz w:val="19"/>
          <w:szCs w:val="19"/>
        </w:rPr>
        <w:t xml:space="preserve"> </w:t>
      </w:r>
      <w:r>
        <w:rPr>
          <w:rFonts w:cstheme="minorHAnsi"/>
          <w:b/>
          <w:bCs/>
          <w:color w:val="000000"/>
          <w:sz w:val="19"/>
          <w:szCs w:val="19"/>
        </w:rPr>
        <w:t>est</w:t>
      </w:r>
      <w:r w:rsidR="0076419E" w:rsidRPr="00C172DB">
        <w:rPr>
          <w:rFonts w:cstheme="minorHAnsi"/>
          <w:b/>
          <w:bCs/>
          <w:color w:val="000000"/>
          <w:sz w:val="19"/>
          <w:szCs w:val="19"/>
        </w:rPr>
        <w:t xml:space="preserve"> réduit à partir du 2</w:t>
      </w:r>
      <w:r>
        <w:rPr>
          <w:rFonts w:cstheme="minorHAnsi"/>
          <w:b/>
          <w:bCs/>
          <w:color w:val="000000"/>
          <w:sz w:val="19"/>
          <w:szCs w:val="19"/>
        </w:rPr>
        <w:t xml:space="preserve">1 mars 2020, passant de 5% à 0% </w:t>
      </w:r>
      <w:r w:rsidRPr="00C172DB">
        <w:rPr>
          <w:rFonts w:cstheme="minorHAnsi"/>
          <w:bCs/>
          <w:color w:val="000000"/>
          <w:sz w:val="19"/>
          <w:szCs w:val="19"/>
        </w:rPr>
        <w:t>e</w:t>
      </w:r>
      <w:r w:rsidR="0076419E" w:rsidRPr="00C172DB">
        <w:rPr>
          <w:rFonts w:cstheme="minorHAnsi"/>
          <w:bCs/>
          <w:color w:val="000000"/>
          <w:sz w:val="19"/>
          <w:szCs w:val="19"/>
        </w:rPr>
        <w:t xml:space="preserve">t ce pour les 6 prochains mois (jusqu’au 20.09.2020). Ensuite, un taux d’intérêt de 5% sera de nouveau applicable. </w:t>
      </w:r>
    </w:p>
    <w:p w:rsidR="00C41D05" w:rsidRDefault="00C41D05" w:rsidP="00E77E95">
      <w:pPr>
        <w:spacing w:after="0"/>
        <w:ind w:right="-567"/>
        <w:rPr>
          <w:rStyle w:val="A2"/>
          <w:b/>
          <w:sz w:val="24"/>
          <w:szCs w:val="24"/>
        </w:rPr>
      </w:pPr>
    </w:p>
    <w:p w:rsidR="00C41D05" w:rsidRDefault="003F5811" w:rsidP="00E77E95">
      <w:pPr>
        <w:spacing w:after="0"/>
        <w:ind w:right="-567"/>
        <w:rPr>
          <w:rStyle w:val="A2"/>
          <w:b/>
          <w:sz w:val="24"/>
          <w:szCs w:val="24"/>
        </w:rPr>
      </w:pPr>
      <w:r>
        <w:rPr>
          <w:rStyle w:val="A2"/>
          <w:b/>
          <w:sz w:val="24"/>
          <w:szCs w:val="24"/>
        </w:rPr>
        <w:t>Précisions</w:t>
      </w:r>
    </w:p>
    <w:p w:rsidR="00B36A4D" w:rsidRPr="00B36A4D" w:rsidRDefault="00B36A4D" w:rsidP="00E77E95">
      <w:pPr>
        <w:spacing w:after="0"/>
        <w:ind w:right="-567"/>
        <w:rPr>
          <w:rStyle w:val="A2"/>
          <w:b/>
          <w:sz w:val="12"/>
          <w:szCs w:val="12"/>
        </w:rPr>
      </w:pPr>
    </w:p>
    <w:p w:rsidR="00E77E95" w:rsidRPr="009607B9" w:rsidRDefault="00CE5C74" w:rsidP="00B36A4D">
      <w:pPr>
        <w:spacing w:after="120"/>
        <w:ind w:right="-567"/>
        <w:rPr>
          <w:rStyle w:val="A2"/>
          <w:color w:val="943634" w:themeColor="accent2" w:themeShade="BF"/>
          <w:sz w:val="22"/>
          <w:szCs w:val="22"/>
        </w:rPr>
      </w:pPr>
      <w:r>
        <w:rPr>
          <w:rStyle w:val="A2"/>
          <w:b/>
          <w:color w:val="943634" w:themeColor="accent2" w:themeShade="BF"/>
          <w:sz w:val="22"/>
          <w:szCs w:val="22"/>
        </w:rPr>
        <w:t>Report du paiement de cotisations</w:t>
      </w:r>
    </w:p>
    <w:p w:rsidR="00CE5C74" w:rsidRPr="00D61574" w:rsidRDefault="00CE5C74" w:rsidP="00B36A4D">
      <w:pPr>
        <w:spacing w:after="60" w:line="240" w:lineRule="auto"/>
        <w:jc w:val="both"/>
        <w:rPr>
          <w:rStyle w:val="A2"/>
          <w:b/>
        </w:rPr>
      </w:pPr>
      <w:r w:rsidRPr="00D61574">
        <w:rPr>
          <w:rStyle w:val="A2"/>
          <w:b/>
        </w:rPr>
        <w:t xml:space="preserve">Comment doit-on </w:t>
      </w:r>
      <w:r w:rsidR="00D61574">
        <w:rPr>
          <w:rStyle w:val="A2"/>
          <w:b/>
        </w:rPr>
        <w:t>procéder</w:t>
      </w:r>
      <w:r w:rsidRPr="00D61574">
        <w:rPr>
          <w:rStyle w:val="A2"/>
          <w:b/>
        </w:rPr>
        <w:t xml:space="preserve"> pour bénéficier du report de cotisations ?</w:t>
      </w:r>
    </w:p>
    <w:p w:rsidR="006E34A3" w:rsidRDefault="006E34A3" w:rsidP="00845726">
      <w:pPr>
        <w:pStyle w:val="Paragraphedeliste"/>
        <w:numPr>
          <w:ilvl w:val="0"/>
          <w:numId w:val="11"/>
        </w:numPr>
        <w:spacing w:after="0" w:line="240" w:lineRule="auto"/>
        <w:jc w:val="both"/>
        <w:rPr>
          <w:rStyle w:val="A2"/>
        </w:rPr>
      </w:pPr>
      <w:r>
        <w:rPr>
          <w:rStyle w:val="A2"/>
        </w:rPr>
        <w:t>Envoyer une demande écrite, par e-mail, à votre agence de compensation. Veuillez indiquer le motif de cette demande de report et pour quelle(s) période(s) de décomptes vous souhaitez un paiement différé des cotisations.</w:t>
      </w:r>
    </w:p>
    <w:p w:rsidR="006E34A3" w:rsidRDefault="006E34A3" w:rsidP="00845726">
      <w:pPr>
        <w:pStyle w:val="Paragraphedeliste"/>
        <w:numPr>
          <w:ilvl w:val="0"/>
          <w:numId w:val="11"/>
        </w:numPr>
        <w:spacing w:after="0" w:line="240" w:lineRule="auto"/>
        <w:jc w:val="both"/>
        <w:rPr>
          <w:rStyle w:val="A2"/>
        </w:rPr>
      </w:pPr>
      <w:r>
        <w:rPr>
          <w:rStyle w:val="A2"/>
        </w:rPr>
        <w:t>Votre agence de compensation vous répondra par e-mail également.</w:t>
      </w:r>
    </w:p>
    <w:p w:rsidR="006E34A3" w:rsidRPr="005B79A4" w:rsidRDefault="006E34A3" w:rsidP="00845726">
      <w:pPr>
        <w:spacing w:after="0" w:line="240" w:lineRule="auto"/>
        <w:jc w:val="both"/>
        <w:rPr>
          <w:rStyle w:val="A2"/>
          <w:sz w:val="16"/>
          <w:szCs w:val="16"/>
        </w:rPr>
      </w:pPr>
    </w:p>
    <w:p w:rsidR="00CE5C74" w:rsidRPr="00D61574" w:rsidRDefault="00CE5C74" w:rsidP="00B36A4D">
      <w:pPr>
        <w:spacing w:after="60" w:line="240" w:lineRule="auto"/>
        <w:jc w:val="both"/>
        <w:rPr>
          <w:rStyle w:val="A2"/>
          <w:b/>
        </w:rPr>
      </w:pPr>
      <w:r w:rsidRPr="00D61574">
        <w:rPr>
          <w:rStyle w:val="A2"/>
          <w:b/>
        </w:rPr>
        <w:t>Jusqu’à quand le report de cotisations</w:t>
      </w:r>
      <w:r w:rsidR="006E34A3" w:rsidRPr="00D61574">
        <w:rPr>
          <w:rStyle w:val="A2"/>
          <w:b/>
        </w:rPr>
        <w:t xml:space="preserve"> est-il accepté</w:t>
      </w:r>
      <w:r w:rsidRPr="00D61574">
        <w:rPr>
          <w:rStyle w:val="A2"/>
          <w:b/>
        </w:rPr>
        <w:t> ?</w:t>
      </w:r>
    </w:p>
    <w:p w:rsidR="00BB102B" w:rsidRDefault="00BB102B" w:rsidP="00845726">
      <w:pPr>
        <w:spacing w:after="0" w:line="240" w:lineRule="auto"/>
        <w:jc w:val="both"/>
        <w:rPr>
          <w:rStyle w:val="A2"/>
        </w:rPr>
      </w:pPr>
      <w:r>
        <w:rPr>
          <w:rStyle w:val="A2"/>
        </w:rPr>
        <w:t>A l’heure actuelle, le report du paiement des cotisations a été fixé à fin juin 2020.</w:t>
      </w:r>
    </w:p>
    <w:p w:rsidR="00CE5C74" w:rsidRPr="005B79A4" w:rsidRDefault="00CE5C74" w:rsidP="00845726">
      <w:pPr>
        <w:spacing w:after="0" w:line="240" w:lineRule="auto"/>
        <w:jc w:val="both"/>
        <w:rPr>
          <w:rStyle w:val="A2"/>
          <w:sz w:val="16"/>
          <w:szCs w:val="16"/>
        </w:rPr>
      </w:pPr>
    </w:p>
    <w:p w:rsidR="00D61574" w:rsidRPr="00845726" w:rsidRDefault="00D61574" w:rsidP="00B36A4D">
      <w:pPr>
        <w:spacing w:after="60" w:line="240" w:lineRule="auto"/>
        <w:jc w:val="both"/>
        <w:rPr>
          <w:rStyle w:val="A2"/>
          <w:b/>
        </w:rPr>
      </w:pPr>
      <w:r w:rsidRPr="00845726">
        <w:rPr>
          <w:rStyle w:val="A2"/>
          <w:b/>
        </w:rPr>
        <w:t xml:space="preserve">Que se </w:t>
      </w:r>
      <w:proofErr w:type="spellStart"/>
      <w:r w:rsidRPr="00845726">
        <w:rPr>
          <w:rStyle w:val="A2"/>
          <w:b/>
        </w:rPr>
        <w:t>passera-t-il</w:t>
      </w:r>
      <w:proofErr w:type="spellEnd"/>
      <w:r w:rsidRPr="00845726">
        <w:rPr>
          <w:rStyle w:val="A2"/>
          <w:b/>
        </w:rPr>
        <w:t xml:space="preserve"> si nous ne demandons pas formellement un report du paiement des cotisations ?</w:t>
      </w:r>
      <w:bookmarkStart w:id="0" w:name="_GoBack"/>
      <w:bookmarkEnd w:id="0"/>
    </w:p>
    <w:p w:rsidR="00D61574" w:rsidRDefault="00845726" w:rsidP="00845726">
      <w:pPr>
        <w:spacing w:after="0" w:line="240" w:lineRule="auto"/>
        <w:jc w:val="both"/>
        <w:rPr>
          <w:rStyle w:val="A2"/>
        </w:rPr>
      </w:pPr>
      <w:r>
        <w:rPr>
          <w:rStyle w:val="A2"/>
        </w:rPr>
        <w:t>Une sommation vous sera envoyée, sans préavis, en juillet 2020.</w:t>
      </w:r>
    </w:p>
    <w:p w:rsidR="00D61574" w:rsidRPr="005B79A4" w:rsidRDefault="00D61574" w:rsidP="00845726">
      <w:pPr>
        <w:spacing w:after="0" w:line="240" w:lineRule="auto"/>
        <w:jc w:val="both"/>
        <w:rPr>
          <w:rStyle w:val="A2"/>
          <w:sz w:val="16"/>
          <w:szCs w:val="16"/>
        </w:rPr>
      </w:pPr>
    </w:p>
    <w:p w:rsidR="00845726" w:rsidRPr="00845726" w:rsidRDefault="00845726" w:rsidP="00B36A4D">
      <w:pPr>
        <w:spacing w:after="60" w:line="240" w:lineRule="auto"/>
        <w:jc w:val="both"/>
        <w:rPr>
          <w:rStyle w:val="A2"/>
          <w:b/>
        </w:rPr>
      </w:pPr>
      <w:r w:rsidRPr="00845726">
        <w:rPr>
          <w:rStyle w:val="A2"/>
          <w:b/>
        </w:rPr>
        <w:t>Est-ce que le report du paiement des cotisations peut être demandé pour tous nos arriérés de cotisations ?</w:t>
      </w:r>
    </w:p>
    <w:p w:rsidR="00845726" w:rsidRDefault="00845726" w:rsidP="00845726">
      <w:pPr>
        <w:spacing w:after="0" w:line="240" w:lineRule="auto"/>
        <w:jc w:val="both"/>
        <w:rPr>
          <w:rStyle w:val="A2"/>
        </w:rPr>
      </w:pPr>
      <w:r>
        <w:rPr>
          <w:rStyle w:val="A2"/>
        </w:rPr>
        <w:t xml:space="preserve">Non. Seule une demande pour les décomptes de cotisations non-échus </w:t>
      </w:r>
      <w:r w:rsidR="00822A79">
        <w:rPr>
          <w:rStyle w:val="A2"/>
        </w:rPr>
        <w:t xml:space="preserve">pourra être </w:t>
      </w:r>
      <w:r>
        <w:rPr>
          <w:rStyle w:val="A2"/>
        </w:rPr>
        <w:t>acceptée.</w:t>
      </w:r>
      <w:r w:rsidR="006730FF">
        <w:rPr>
          <w:rStyle w:val="A2"/>
        </w:rPr>
        <w:t xml:space="preserve"> Cependant, vous ne recevrez aucune sommation pour ces décomptes-là avant le mois de juillet 2020.</w:t>
      </w:r>
    </w:p>
    <w:p w:rsidR="00845726" w:rsidRPr="005B79A4" w:rsidRDefault="00845726" w:rsidP="00845726">
      <w:pPr>
        <w:spacing w:after="0" w:line="240" w:lineRule="auto"/>
        <w:jc w:val="both"/>
        <w:rPr>
          <w:rStyle w:val="A2"/>
          <w:sz w:val="16"/>
          <w:szCs w:val="16"/>
        </w:rPr>
      </w:pPr>
    </w:p>
    <w:p w:rsidR="00CE5C74" w:rsidRPr="00845726" w:rsidRDefault="006E34A3" w:rsidP="00B36A4D">
      <w:pPr>
        <w:spacing w:after="60" w:line="240" w:lineRule="auto"/>
        <w:jc w:val="both"/>
        <w:rPr>
          <w:rStyle w:val="A2"/>
          <w:b/>
        </w:rPr>
      </w:pPr>
      <w:r w:rsidRPr="00845726">
        <w:rPr>
          <w:rStyle w:val="A2"/>
          <w:b/>
        </w:rPr>
        <w:t>Nous avions déjà reçu une sommation pour un décompte échu. A partir de quand ce décompte sera-t-il mis aux poursuites ?</w:t>
      </w:r>
    </w:p>
    <w:p w:rsidR="006E34A3" w:rsidRDefault="006E34A3" w:rsidP="00845726">
      <w:pPr>
        <w:spacing w:after="0" w:line="240" w:lineRule="auto"/>
        <w:jc w:val="both"/>
        <w:rPr>
          <w:rStyle w:val="A2"/>
        </w:rPr>
      </w:pPr>
      <w:r>
        <w:rPr>
          <w:rStyle w:val="A2"/>
        </w:rPr>
        <w:t>La mise aux poursuites reprendra après les féries judiciaires, soit dès le 20 avril 2020.</w:t>
      </w:r>
    </w:p>
    <w:p w:rsidR="00132B23" w:rsidRPr="005B79A4" w:rsidRDefault="00132B23" w:rsidP="00E06A67">
      <w:pPr>
        <w:spacing w:after="0" w:line="240" w:lineRule="auto"/>
        <w:jc w:val="both"/>
        <w:rPr>
          <w:rStyle w:val="A2"/>
          <w:sz w:val="16"/>
          <w:szCs w:val="16"/>
        </w:rPr>
      </w:pPr>
    </w:p>
    <w:p w:rsidR="00132B23" w:rsidRPr="006730FF" w:rsidRDefault="00132B23" w:rsidP="00B36A4D">
      <w:pPr>
        <w:spacing w:after="60" w:line="240" w:lineRule="auto"/>
        <w:jc w:val="both"/>
        <w:rPr>
          <w:rStyle w:val="A2"/>
          <w:b/>
        </w:rPr>
      </w:pPr>
      <w:r w:rsidRPr="006730FF">
        <w:rPr>
          <w:rStyle w:val="A2"/>
          <w:b/>
        </w:rPr>
        <w:t>Peut-on demander un plan d’amortissement même si les cotisations courantes ne sont pas payées ?</w:t>
      </w:r>
    </w:p>
    <w:p w:rsidR="00132B23" w:rsidRDefault="00132B23" w:rsidP="00E06A67">
      <w:pPr>
        <w:spacing w:after="0" w:line="240" w:lineRule="auto"/>
        <w:jc w:val="both"/>
        <w:rPr>
          <w:rStyle w:val="A2"/>
        </w:rPr>
      </w:pPr>
      <w:r>
        <w:rPr>
          <w:rStyle w:val="A2"/>
        </w:rPr>
        <w:t xml:space="preserve">Les plans d’amortissements sont pour l’instant également suspendues à notre caisse de compensation. </w:t>
      </w:r>
      <w:r w:rsidR="00D61574">
        <w:rPr>
          <w:rStyle w:val="A2"/>
        </w:rPr>
        <w:t xml:space="preserve">Nous vous conseillons de reprendre contact avec </w:t>
      </w:r>
      <w:r w:rsidR="006730FF">
        <w:rPr>
          <w:rStyle w:val="A2"/>
        </w:rPr>
        <w:t>votre agence</w:t>
      </w:r>
      <w:r w:rsidR="00D61574">
        <w:rPr>
          <w:rStyle w:val="A2"/>
        </w:rPr>
        <w:t xml:space="preserve"> dans le courant du mois de juillet si vous constatez que vous ne pourrez pas payer vos arriérés de cotisations reportées dans les temps : nous établirons un plan d’amortissements à ce moment-là si les conditions sont remplies.</w:t>
      </w:r>
    </w:p>
    <w:p w:rsidR="00BB102B" w:rsidRPr="006730FF" w:rsidRDefault="00BB102B" w:rsidP="006730FF">
      <w:pPr>
        <w:spacing w:after="0" w:line="240" w:lineRule="auto"/>
        <w:jc w:val="both"/>
        <w:rPr>
          <w:rStyle w:val="A2"/>
          <w:rFonts w:cstheme="minorHAnsi"/>
        </w:rPr>
      </w:pPr>
    </w:p>
    <w:p w:rsidR="00ED02B1" w:rsidRPr="00A80348" w:rsidRDefault="00594BA0" w:rsidP="007504B9">
      <w:pPr>
        <w:spacing w:after="120"/>
        <w:ind w:right="-567"/>
        <w:jc w:val="both"/>
        <w:rPr>
          <w:rStyle w:val="A2"/>
          <w:rFonts w:cstheme="minorHAnsi"/>
          <w:color w:val="943634" w:themeColor="accent2" w:themeShade="BF"/>
          <w:sz w:val="22"/>
          <w:szCs w:val="22"/>
        </w:rPr>
      </w:pPr>
      <w:r w:rsidRPr="00A80348">
        <w:rPr>
          <w:rStyle w:val="A2"/>
          <w:rFonts w:cstheme="minorHAnsi"/>
          <w:b/>
          <w:color w:val="943634" w:themeColor="accent2" w:themeShade="BF"/>
          <w:sz w:val="22"/>
          <w:szCs w:val="22"/>
        </w:rPr>
        <w:lastRenderedPageBreak/>
        <w:t>Intérêts moratoires</w:t>
      </w:r>
    </w:p>
    <w:p w:rsidR="00D57781" w:rsidRPr="003452DA" w:rsidRDefault="00D57781" w:rsidP="005B79A4">
      <w:pPr>
        <w:spacing w:after="60" w:line="240" w:lineRule="auto"/>
        <w:jc w:val="both"/>
        <w:rPr>
          <w:rFonts w:cstheme="minorHAnsi"/>
          <w:b/>
          <w:color w:val="000000"/>
          <w:sz w:val="19"/>
          <w:szCs w:val="19"/>
        </w:rPr>
      </w:pPr>
      <w:r w:rsidRPr="003452DA">
        <w:rPr>
          <w:rFonts w:cstheme="minorHAnsi"/>
          <w:b/>
          <w:color w:val="000000"/>
          <w:sz w:val="19"/>
          <w:szCs w:val="19"/>
        </w:rPr>
        <w:t>Le taux d’intérêt de 0% s’applique à partir du 21.03.2020 pour toutes les créances actuellement en suspens – donc non seulement pour les plans d’amortissement en cours ?</w:t>
      </w:r>
    </w:p>
    <w:p w:rsidR="00ED02B1" w:rsidRDefault="00D57781" w:rsidP="006730FF">
      <w:pPr>
        <w:spacing w:after="0" w:line="240" w:lineRule="auto"/>
        <w:jc w:val="both"/>
        <w:rPr>
          <w:rFonts w:cstheme="minorHAnsi"/>
          <w:color w:val="000000"/>
          <w:sz w:val="19"/>
          <w:szCs w:val="19"/>
        </w:rPr>
      </w:pPr>
      <w:r w:rsidRPr="006730FF">
        <w:rPr>
          <w:rFonts w:cstheme="minorHAnsi"/>
          <w:color w:val="000000"/>
          <w:sz w:val="19"/>
          <w:szCs w:val="19"/>
        </w:rPr>
        <w:t>C’est exact. Dans le cadre d’une mesure administrative exceptionnelle, le taux d’intérêt s’élève provisoirement à 0% à partir du 21.03.2020. La durée de cette mesure n’est pas encore fixée.</w:t>
      </w:r>
    </w:p>
    <w:p w:rsidR="00013614" w:rsidRPr="005B79A4" w:rsidRDefault="00013614" w:rsidP="006730FF">
      <w:pPr>
        <w:spacing w:after="0" w:line="240" w:lineRule="auto"/>
        <w:jc w:val="both"/>
        <w:rPr>
          <w:rFonts w:cstheme="minorHAnsi"/>
          <w:color w:val="000000"/>
          <w:sz w:val="16"/>
          <w:szCs w:val="16"/>
        </w:rPr>
      </w:pPr>
    </w:p>
    <w:p w:rsidR="00013614" w:rsidRPr="00013614" w:rsidRDefault="00013614" w:rsidP="005B79A4">
      <w:pPr>
        <w:spacing w:after="60" w:line="240" w:lineRule="auto"/>
        <w:jc w:val="both"/>
        <w:rPr>
          <w:rFonts w:cstheme="minorHAnsi"/>
          <w:b/>
          <w:color w:val="000000"/>
          <w:sz w:val="19"/>
          <w:szCs w:val="19"/>
        </w:rPr>
      </w:pPr>
      <w:r w:rsidRPr="00013614">
        <w:rPr>
          <w:rFonts w:cstheme="minorHAnsi"/>
          <w:b/>
          <w:color w:val="000000"/>
          <w:sz w:val="19"/>
          <w:szCs w:val="19"/>
        </w:rPr>
        <w:t>Des intérêts moratoires nous ont été facturés avant la décision du Conseil fédéral du 21 mars dernier. Sont-ils dus ?</w:t>
      </w:r>
    </w:p>
    <w:p w:rsidR="00013614" w:rsidRPr="006730FF" w:rsidRDefault="00013614" w:rsidP="006730FF">
      <w:pPr>
        <w:spacing w:after="0" w:line="240" w:lineRule="auto"/>
        <w:jc w:val="both"/>
        <w:rPr>
          <w:rFonts w:cstheme="minorHAnsi"/>
          <w:color w:val="000000"/>
          <w:sz w:val="19"/>
          <w:szCs w:val="19"/>
        </w:rPr>
      </w:pPr>
      <w:r>
        <w:rPr>
          <w:rFonts w:cstheme="minorHAnsi"/>
          <w:color w:val="000000"/>
          <w:sz w:val="19"/>
          <w:szCs w:val="19"/>
        </w:rPr>
        <w:t>Oui, vous devez les payer.</w:t>
      </w:r>
    </w:p>
    <w:p w:rsidR="00D57781" w:rsidRPr="005B79A4" w:rsidRDefault="00D57781" w:rsidP="006730FF">
      <w:pPr>
        <w:spacing w:after="0" w:line="240" w:lineRule="auto"/>
        <w:jc w:val="both"/>
        <w:rPr>
          <w:rFonts w:cstheme="minorHAnsi"/>
          <w:color w:val="000000"/>
          <w:sz w:val="16"/>
          <w:szCs w:val="16"/>
        </w:rPr>
      </w:pPr>
    </w:p>
    <w:p w:rsidR="00D57781" w:rsidRPr="003452DA" w:rsidRDefault="00D57781" w:rsidP="005B79A4">
      <w:pPr>
        <w:autoSpaceDE w:val="0"/>
        <w:autoSpaceDN w:val="0"/>
        <w:adjustRightInd w:val="0"/>
        <w:spacing w:after="60" w:line="240" w:lineRule="auto"/>
        <w:jc w:val="both"/>
        <w:rPr>
          <w:rFonts w:cstheme="minorHAnsi"/>
          <w:b/>
          <w:color w:val="000000"/>
          <w:sz w:val="19"/>
          <w:szCs w:val="19"/>
        </w:rPr>
      </w:pPr>
      <w:r w:rsidRPr="003452DA">
        <w:rPr>
          <w:rFonts w:cstheme="minorHAnsi"/>
          <w:b/>
          <w:color w:val="000000"/>
          <w:sz w:val="19"/>
          <w:szCs w:val="19"/>
        </w:rPr>
        <w:t xml:space="preserve">Le décompte des cotisations de janvier 2020 sera payé le 25.03.2020. Comment l’intérêt moratoire sera-t-il calculé, en tenant compte des mesures extraordinaires ? </w:t>
      </w:r>
    </w:p>
    <w:p w:rsidR="00336F4C" w:rsidRPr="006730FF" w:rsidRDefault="00D57781" w:rsidP="006730FF">
      <w:pPr>
        <w:spacing w:after="0" w:line="240" w:lineRule="auto"/>
        <w:jc w:val="both"/>
        <w:rPr>
          <w:rFonts w:cstheme="minorHAnsi"/>
          <w:color w:val="000000"/>
          <w:sz w:val="19"/>
          <w:szCs w:val="19"/>
        </w:rPr>
      </w:pPr>
      <w:r w:rsidRPr="006730FF">
        <w:rPr>
          <w:rFonts w:cstheme="minorHAnsi"/>
          <w:color w:val="000000"/>
          <w:sz w:val="19"/>
          <w:szCs w:val="19"/>
        </w:rPr>
        <w:t>L’intérêt du 01.02 au 20.03.2020 sera calculé à 5% et du 21 au 25.03.2020 à 0%</w:t>
      </w:r>
    </w:p>
    <w:p w:rsidR="00D57781" w:rsidRPr="005B79A4" w:rsidRDefault="00D57781" w:rsidP="006730FF">
      <w:pPr>
        <w:autoSpaceDE w:val="0"/>
        <w:autoSpaceDN w:val="0"/>
        <w:adjustRightInd w:val="0"/>
        <w:spacing w:after="0" w:line="240" w:lineRule="auto"/>
        <w:jc w:val="both"/>
        <w:rPr>
          <w:rFonts w:cstheme="minorHAnsi"/>
          <w:color w:val="000000"/>
          <w:sz w:val="16"/>
          <w:szCs w:val="16"/>
        </w:rPr>
      </w:pPr>
    </w:p>
    <w:p w:rsidR="00D57781" w:rsidRPr="003452DA" w:rsidRDefault="00D57781" w:rsidP="005B79A4">
      <w:pPr>
        <w:spacing w:after="60" w:line="240" w:lineRule="auto"/>
        <w:jc w:val="both"/>
        <w:rPr>
          <w:rFonts w:cstheme="minorHAnsi"/>
          <w:b/>
          <w:color w:val="000000"/>
          <w:sz w:val="19"/>
          <w:szCs w:val="19"/>
        </w:rPr>
      </w:pPr>
      <w:r w:rsidRPr="003452DA">
        <w:rPr>
          <w:rFonts w:cstheme="minorHAnsi"/>
          <w:b/>
          <w:color w:val="000000"/>
          <w:sz w:val="19"/>
          <w:szCs w:val="19"/>
        </w:rPr>
        <w:t>Qu’en est-il de l’intérêt moratoire pour les décomptes annuels qui ne sont soumis que maintenant en raison d’une prolongation de délai ?</w:t>
      </w:r>
    </w:p>
    <w:p w:rsidR="00BB102B" w:rsidRDefault="003452DA" w:rsidP="006730FF">
      <w:pPr>
        <w:spacing w:after="0" w:line="240" w:lineRule="auto"/>
        <w:jc w:val="both"/>
        <w:rPr>
          <w:rFonts w:cstheme="minorHAnsi"/>
          <w:sz w:val="19"/>
          <w:szCs w:val="19"/>
        </w:rPr>
      </w:pPr>
      <w:r w:rsidRPr="003452DA">
        <w:rPr>
          <w:rFonts w:cstheme="minorHAnsi"/>
          <w:bCs/>
          <w:sz w:val="19"/>
          <w:szCs w:val="19"/>
        </w:rPr>
        <w:t>Un</w:t>
      </w:r>
      <w:r w:rsidR="00BB102B" w:rsidRPr="006730FF">
        <w:rPr>
          <w:rFonts w:cstheme="minorHAnsi"/>
          <w:sz w:val="19"/>
          <w:szCs w:val="19"/>
        </w:rPr>
        <w:t xml:space="preserve"> intérêt éventuel du 01.01.2019 au 20.</w:t>
      </w:r>
      <w:r>
        <w:rPr>
          <w:rFonts w:cstheme="minorHAnsi"/>
          <w:sz w:val="19"/>
          <w:szCs w:val="19"/>
        </w:rPr>
        <w:t>0</w:t>
      </w:r>
      <w:r w:rsidR="00BB102B" w:rsidRPr="006730FF">
        <w:rPr>
          <w:rFonts w:cstheme="minorHAnsi"/>
          <w:sz w:val="19"/>
          <w:szCs w:val="19"/>
        </w:rPr>
        <w:t>3.2020 sera calculé à 5% et du 21.</w:t>
      </w:r>
      <w:r>
        <w:rPr>
          <w:rFonts w:cstheme="minorHAnsi"/>
          <w:sz w:val="19"/>
          <w:szCs w:val="19"/>
        </w:rPr>
        <w:t>0</w:t>
      </w:r>
      <w:r w:rsidR="00BB102B" w:rsidRPr="006730FF">
        <w:rPr>
          <w:rFonts w:cstheme="minorHAnsi"/>
          <w:sz w:val="19"/>
          <w:szCs w:val="19"/>
        </w:rPr>
        <w:t>3.2020 jusqu’à la facturation à 0%. Un éventuel intérêt moratoire consécutif sur le paiemen</w:t>
      </w:r>
      <w:r>
        <w:rPr>
          <w:rFonts w:cstheme="minorHAnsi"/>
          <w:sz w:val="19"/>
          <w:szCs w:val="19"/>
        </w:rPr>
        <w:t>t serait également calculé à 0% tant que la mesure est en vigueur.</w:t>
      </w:r>
    </w:p>
    <w:p w:rsidR="001B0925" w:rsidRDefault="001B0925" w:rsidP="006730FF">
      <w:pPr>
        <w:spacing w:after="0" w:line="240" w:lineRule="auto"/>
        <w:jc w:val="both"/>
        <w:rPr>
          <w:rFonts w:cstheme="minorHAnsi"/>
          <w:sz w:val="19"/>
          <w:szCs w:val="19"/>
        </w:rPr>
      </w:pPr>
    </w:p>
    <w:p w:rsidR="001B0925" w:rsidRDefault="001B0925" w:rsidP="006730FF">
      <w:pPr>
        <w:spacing w:after="0" w:line="240" w:lineRule="auto"/>
        <w:jc w:val="both"/>
        <w:rPr>
          <w:rFonts w:cstheme="minorHAnsi"/>
          <w:sz w:val="19"/>
          <w:szCs w:val="19"/>
        </w:rPr>
      </w:pPr>
    </w:p>
    <w:p w:rsidR="00F4312D" w:rsidRDefault="00F4312D" w:rsidP="006730FF">
      <w:pPr>
        <w:spacing w:after="0" w:line="240" w:lineRule="auto"/>
        <w:jc w:val="both"/>
        <w:rPr>
          <w:rFonts w:cstheme="minorHAnsi"/>
          <w:sz w:val="19"/>
          <w:szCs w:val="19"/>
        </w:rPr>
      </w:pPr>
    </w:p>
    <w:p w:rsidR="00EF489D" w:rsidRPr="00EF489D" w:rsidRDefault="00EF489D" w:rsidP="00D90C00">
      <w:pPr>
        <w:jc w:val="both"/>
        <w:rPr>
          <w:color w:val="C0504D" w:themeColor="accent2"/>
          <w:sz w:val="19"/>
          <w:szCs w:val="19"/>
        </w:rPr>
      </w:pPr>
      <w:r w:rsidRPr="00EF489D">
        <w:rPr>
          <w:color w:val="C0504D" w:themeColor="accent2"/>
          <w:sz w:val="19"/>
          <w:szCs w:val="19"/>
        </w:rPr>
        <w:t>Nous vous rendons également attentifs aux mesures prises par le Conseil fédéral pour les aides aux entreprises sous la forme de liquidités, avec un programme de garantie pour des prêts bancaires transitoires. Pour plus d’informations, voir le site de la Confédération ou de la Convention Patronale de l’industrie horlogère.</w:t>
      </w:r>
    </w:p>
    <w:p w:rsidR="003452DA" w:rsidRPr="006730FF" w:rsidRDefault="003452DA" w:rsidP="006730FF">
      <w:pPr>
        <w:spacing w:after="0" w:line="240" w:lineRule="auto"/>
        <w:jc w:val="both"/>
        <w:rPr>
          <w:rStyle w:val="A2"/>
          <w:rFonts w:cstheme="minorHAnsi"/>
        </w:rPr>
      </w:pPr>
    </w:p>
    <w:p w:rsidR="001644B7" w:rsidRDefault="001644B7" w:rsidP="00594BA0">
      <w:pPr>
        <w:rPr>
          <w:rStyle w:val="A2"/>
          <w:b/>
          <w:bCs/>
          <w:sz w:val="22"/>
          <w:szCs w:val="22"/>
        </w:rPr>
      </w:pPr>
    </w:p>
    <w:p w:rsidR="0067289E" w:rsidRPr="0067544A" w:rsidRDefault="00E7408B" w:rsidP="00FE6617">
      <w:pPr>
        <w:spacing w:after="0"/>
        <w:ind w:right="-142"/>
        <w:jc w:val="right"/>
        <w:rPr>
          <w:rFonts w:cs="Stone Sans II ITC Pro Bk"/>
          <w:color w:val="211D1E"/>
          <w:sz w:val="16"/>
          <w:szCs w:val="16"/>
        </w:rPr>
      </w:pPr>
      <w:r>
        <w:rPr>
          <w:rFonts w:cs="Stone Sans II ITC Pro Bk"/>
          <w:color w:val="211D1E"/>
          <w:sz w:val="16"/>
          <w:szCs w:val="16"/>
        </w:rPr>
        <w:t>27 mars 2020</w:t>
      </w:r>
    </w:p>
    <w:p w:rsidR="00280C56" w:rsidRPr="0067544A" w:rsidRDefault="00F73DF1" w:rsidP="00860BB1">
      <w:pPr>
        <w:autoSpaceDE w:val="0"/>
        <w:autoSpaceDN w:val="0"/>
        <w:adjustRightInd w:val="0"/>
        <w:spacing w:before="80" w:after="0" w:line="241" w:lineRule="atLeast"/>
        <w:ind w:right="-567"/>
        <w:rPr>
          <w:rStyle w:val="A2"/>
          <w:color w:val="943634" w:themeColor="accent2" w:themeShade="BF"/>
          <w:sz w:val="40"/>
          <w:szCs w:val="40"/>
        </w:rPr>
      </w:pPr>
      <w:r w:rsidRPr="0067544A">
        <w:rPr>
          <w:rStyle w:val="A2"/>
          <w:color w:val="943634" w:themeColor="accent2" w:themeShade="BF"/>
          <w:sz w:val="40"/>
          <w:szCs w:val="40"/>
        </w:rPr>
        <w:t>Contact</w:t>
      </w:r>
    </w:p>
    <w:p w:rsidR="00280C56" w:rsidRPr="0067544A" w:rsidRDefault="00280C56" w:rsidP="00860BB1">
      <w:pPr>
        <w:spacing w:after="0"/>
        <w:ind w:right="-567"/>
        <w:rPr>
          <w:rStyle w:val="A2"/>
          <w:b/>
        </w:rPr>
      </w:pPr>
      <w:r w:rsidRPr="0067544A">
        <w:rPr>
          <w:rStyle w:val="A2"/>
          <w:b/>
        </w:rPr>
        <w:t>Caisse de compensation AVS de l’industrie horlogère</w:t>
      </w:r>
    </w:p>
    <w:p w:rsidR="00280C56" w:rsidRPr="0067544A" w:rsidRDefault="0067289E" w:rsidP="00860BB1">
      <w:pPr>
        <w:spacing w:after="0"/>
        <w:ind w:right="-567"/>
        <w:rPr>
          <w:rFonts w:cs="Stone Sans II ITC Pro Bk"/>
          <w:color w:val="211D1E"/>
          <w:sz w:val="17"/>
          <w:szCs w:val="17"/>
        </w:rPr>
      </w:pPr>
      <w:r w:rsidRPr="0067544A">
        <w:rPr>
          <w:rFonts w:cs="Stone Sans II ITC Pro Bk"/>
          <w:color w:val="211D1E"/>
          <w:sz w:val="17"/>
          <w:szCs w:val="17"/>
        </w:rPr>
        <w:t xml:space="preserve">Votre agence </w:t>
      </w:r>
      <w:r w:rsidR="00770766" w:rsidRPr="0067544A">
        <w:rPr>
          <w:rFonts w:cs="Stone Sans II ITC Pro Bk"/>
          <w:color w:val="211D1E"/>
          <w:sz w:val="17"/>
          <w:szCs w:val="17"/>
        </w:rPr>
        <w:t>AVS</w:t>
      </w:r>
    </w:p>
    <w:p w:rsidR="00F3303A" w:rsidRDefault="00F3303A" w:rsidP="00860BB1">
      <w:pPr>
        <w:spacing w:after="0"/>
        <w:ind w:right="-567"/>
        <w:rPr>
          <w:rFonts w:cs="Stone Sans II ITC Pro Bk"/>
          <w:color w:val="211D1E"/>
          <w:sz w:val="17"/>
          <w:szCs w:val="17"/>
        </w:rPr>
      </w:pPr>
    </w:p>
    <w:p w:rsidR="00D94A50" w:rsidRDefault="00D94A50" w:rsidP="00860BB1">
      <w:pPr>
        <w:spacing w:after="0"/>
        <w:ind w:right="-567"/>
        <w:rPr>
          <w:rFonts w:cs="Stone Sans II ITC Pro Bk"/>
          <w:color w:val="211D1E"/>
          <w:sz w:val="17"/>
          <w:szCs w:val="17"/>
        </w:rPr>
      </w:pPr>
    </w:p>
    <w:p w:rsidR="00A00A02" w:rsidRDefault="00A00A02" w:rsidP="00860BB1">
      <w:pPr>
        <w:spacing w:after="0"/>
        <w:ind w:right="-567"/>
        <w:rPr>
          <w:rFonts w:cs="Stone Sans II ITC Pro Bk"/>
          <w:color w:val="211D1E"/>
          <w:sz w:val="17"/>
          <w:szCs w:val="17"/>
        </w:rPr>
      </w:pPr>
    </w:p>
    <w:p w:rsidR="00A00A02" w:rsidRDefault="00A00A02" w:rsidP="00860BB1">
      <w:pPr>
        <w:spacing w:after="0"/>
        <w:ind w:right="-567"/>
        <w:rPr>
          <w:rFonts w:cs="Stone Sans II ITC Pro Bk"/>
          <w:color w:val="211D1E"/>
          <w:sz w:val="17"/>
          <w:szCs w:val="17"/>
        </w:rPr>
      </w:pPr>
    </w:p>
    <w:p w:rsidR="00A00A02" w:rsidRPr="0067544A" w:rsidRDefault="00A00A02" w:rsidP="00860BB1">
      <w:pPr>
        <w:spacing w:after="0"/>
        <w:ind w:right="-567"/>
        <w:rPr>
          <w:rFonts w:cs="Stone Sans II ITC Pro Bk"/>
          <w:color w:val="211D1E"/>
          <w:sz w:val="17"/>
          <w:szCs w:val="17"/>
        </w:rPr>
      </w:pPr>
    </w:p>
    <w:p w:rsidR="0067544A" w:rsidRPr="005B79A4" w:rsidRDefault="0067544A" w:rsidP="00860BB1">
      <w:pPr>
        <w:spacing w:after="0"/>
        <w:ind w:right="-567"/>
        <w:rPr>
          <w:rFonts w:cs="Stone Sans II ITC Pro Bk"/>
          <w:i/>
          <w:color w:val="211D1E"/>
          <w:sz w:val="17"/>
          <w:szCs w:val="17"/>
        </w:rPr>
      </w:pPr>
    </w:p>
    <w:p w:rsidR="006A60E5" w:rsidRPr="005B79A4" w:rsidRDefault="00770766" w:rsidP="00A00A02">
      <w:pPr>
        <w:spacing w:after="0"/>
        <w:ind w:right="-567"/>
        <w:jc w:val="right"/>
        <w:rPr>
          <w:rStyle w:val="A2"/>
          <w:i/>
        </w:rPr>
      </w:pPr>
      <w:r w:rsidRPr="005B79A4">
        <w:rPr>
          <w:rStyle w:val="A2"/>
          <w:i/>
        </w:rPr>
        <w:t>Cette « </w:t>
      </w:r>
      <w:r w:rsidR="00CF24D7" w:rsidRPr="005B79A4">
        <w:rPr>
          <w:rStyle w:val="A2"/>
          <w:i/>
        </w:rPr>
        <w:t>info CCIH</w:t>
      </w:r>
      <w:r w:rsidRPr="005B79A4">
        <w:rPr>
          <w:rStyle w:val="A2"/>
          <w:i/>
        </w:rPr>
        <w:t> »</w:t>
      </w:r>
      <w:r w:rsidR="00CF24D7" w:rsidRPr="005B79A4">
        <w:rPr>
          <w:rStyle w:val="A2"/>
          <w:i/>
        </w:rPr>
        <w:t xml:space="preserve"> a un caractère purement informatif.</w:t>
      </w:r>
      <w:r w:rsidR="002446F2" w:rsidRPr="005B79A4">
        <w:rPr>
          <w:rStyle w:val="A2"/>
          <w:i/>
        </w:rPr>
        <w:t xml:space="preserve"> </w:t>
      </w:r>
      <w:r w:rsidR="00CF24D7" w:rsidRPr="005B79A4">
        <w:rPr>
          <w:rStyle w:val="A2"/>
          <w:i/>
        </w:rPr>
        <w:t>Seules les dispositions légales et réglementaires font foi.</w:t>
      </w:r>
    </w:p>
    <w:p w:rsidR="00A00A02" w:rsidRPr="005B79A4" w:rsidRDefault="00A00A02" w:rsidP="00A00A02">
      <w:pPr>
        <w:spacing w:after="0"/>
        <w:ind w:right="-567"/>
        <w:jc w:val="right"/>
        <w:rPr>
          <w:rStyle w:val="A2"/>
          <w:i/>
        </w:rPr>
      </w:pPr>
      <w:r w:rsidRPr="005B79A4">
        <w:rPr>
          <w:rStyle w:val="A2"/>
          <w:i/>
        </w:rPr>
        <w:t>Elle a été établie selon l’ordonnance du 20 mars 2020 et sera adaptée cas échéant.</w:t>
      </w:r>
    </w:p>
    <w:sectPr w:rsidR="00A00A02" w:rsidRPr="005B79A4" w:rsidSect="00902C20">
      <w:headerReference w:type="default" r:id="rId9"/>
      <w:footerReference w:type="default" r:id="rId10"/>
      <w:pgSz w:w="11906" w:h="16838"/>
      <w:pgMar w:top="1417" w:right="1133" w:bottom="141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46" w:rsidRDefault="00FE6B46" w:rsidP="00603E16">
      <w:pPr>
        <w:spacing w:after="0" w:line="240" w:lineRule="auto"/>
      </w:pPr>
      <w:r>
        <w:separator/>
      </w:r>
    </w:p>
  </w:endnote>
  <w:endnote w:type="continuationSeparator" w:id="0">
    <w:p w:rsidR="00FE6B46" w:rsidRDefault="00FE6B46" w:rsidP="0060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I ITC Std">
    <w:altName w:val="Stone Sans II ITC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tone Sans II ITC Pro Bk">
    <w:altName w:val="Stone Sans II ITC Pro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851402"/>
      <w:docPartObj>
        <w:docPartGallery w:val="Page Numbers (Bottom of Page)"/>
        <w:docPartUnique/>
      </w:docPartObj>
    </w:sdtPr>
    <w:sdtEndPr>
      <w:rPr>
        <w:rFonts w:ascii="Cambria" w:hAnsi="Cambria"/>
        <w:sz w:val="16"/>
        <w:szCs w:val="16"/>
      </w:rPr>
    </w:sdtEndPr>
    <w:sdtContent>
      <w:p w:rsidR="001B0925" w:rsidRDefault="001B0925" w:rsidP="00D52902">
        <w:pPr>
          <w:spacing w:after="0"/>
          <w:ind w:right="-567"/>
          <w:rPr>
            <w:rStyle w:val="A2"/>
            <w:i/>
            <w:sz w:val="16"/>
            <w:szCs w:val="16"/>
          </w:rPr>
        </w:pPr>
        <w:r w:rsidRPr="0067544A">
          <w:rPr>
            <w:rStyle w:val="A2"/>
            <w:i/>
            <w:sz w:val="16"/>
            <w:szCs w:val="16"/>
          </w:rPr>
          <w:t xml:space="preserve"> </w:t>
        </w:r>
      </w:p>
      <w:p w:rsidR="001B0925" w:rsidRPr="00E32568" w:rsidRDefault="001B0925" w:rsidP="00E32568">
        <w:pPr>
          <w:pStyle w:val="Pieddepage"/>
          <w:tabs>
            <w:tab w:val="left" w:pos="4820"/>
          </w:tabs>
          <w:rPr>
            <w:rFonts w:ascii="Cambria" w:hAnsi="Cambria"/>
            <w:sz w:val="16"/>
            <w:szCs w:val="16"/>
          </w:rPr>
        </w:pPr>
        <w:r w:rsidRPr="00E32568">
          <w:rPr>
            <w:rFonts w:ascii="Cambria" w:hAnsi="Cambria"/>
            <w:noProof/>
            <w:sz w:val="16"/>
            <w:szCs w:val="16"/>
            <w:lang w:eastAsia="fr-CH"/>
          </w:rPr>
          <w:drawing>
            <wp:anchor distT="0" distB="0" distL="114300" distR="114300" simplePos="0" relativeHeight="251656192" behindDoc="1" locked="0" layoutInCell="1" allowOverlap="1" wp14:anchorId="29E0021C" wp14:editId="11BDA9B1">
              <wp:simplePos x="0" y="0"/>
              <wp:positionH relativeFrom="column">
                <wp:posOffset>4323080</wp:posOffset>
              </wp:positionH>
              <wp:positionV relativeFrom="paragraph">
                <wp:posOffset>-554355</wp:posOffset>
              </wp:positionV>
              <wp:extent cx="2164080" cy="615315"/>
              <wp:effectExtent l="0" t="0" r="762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64080" cy="615315"/>
                      </a:xfrm>
                      <a:prstGeom prst="rect">
                        <a:avLst/>
                      </a:prstGeom>
                    </pic:spPr>
                  </pic:pic>
                </a:graphicData>
              </a:graphic>
              <wp14:sizeRelH relativeFrom="page">
                <wp14:pctWidth>0</wp14:pctWidth>
              </wp14:sizeRelH>
              <wp14:sizeRelV relativeFrom="page">
                <wp14:pctHeight>0</wp14:pctHeight>
              </wp14:sizeRelV>
            </wp:anchor>
          </w:drawing>
        </w:r>
        <w:r w:rsidRPr="00E32568">
          <w:rPr>
            <w:rFonts w:ascii="Cambria" w:hAnsi="Cambria"/>
            <w:sz w:val="16"/>
            <w:szCs w:val="16"/>
          </w:rPr>
          <w:t xml:space="preserve"> </w:t>
        </w:r>
      </w:p>
    </w:sdtContent>
  </w:sdt>
  <w:p w:rsidR="001B0925" w:rsidRDefault="001B09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46" w:rsidRDefault="00FE6B46" w:rsidP="00603E16">
      <w:pPr>
        <w:spacing w:after="0" w:line="240" w:lineRule="auto"/>
      </w:pPr>
      <w:r>
        <w:separator/>
      </w:r>
    </w:p>
  </w:footnote>
  <w:footnote w:type="continuationSeparator" w:id="0">
    <w:p w:rsidR="00FE6B46" w:rsidRDefault="00FE6B46" w:rsidP="0060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claire-Accent2"/>
      <w:tblW w:w="5050" w:type="pct"/>
      <w:tblBorders>
        <w:bottom w:val="single" w:sz="18" w:space="0" w:color="C0504D" w:themeColor="accent2"/>
      </w:tblBorders>
      <w:tblLook w:val="04A0" w:firstRow="1" w:lastRow="0" w:firstColumn="1" w:lastColumn="0" w:noHBand="0" w:noVBand="1"/>
    </w:tblPr>
    <w:tblGrid>
      <w:gridCol w:w="8127"/>
      <w:gridCol w:w="1445"/>
    </w:tblGrid>
    <w:tr w:rsidR="001B0925" w:rsidRPr="008F5023" w:rsidTr="00110C20">
      <w:trPr>
        <w:cnfStyle w:val="100000000000" w:firstRow="1" w:lastRow="0" w:firstColumn="0" w:lastColumn="0" w:oddVBand="0" w:evenVBand="0" w:oddHBand="0"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8302" w:type="dxa"/>
          <w:tcBorders>
            <w:top w:val="none" w:sz="0" w:space="0" w:color="auto"/>
            <w:left w:val="none" w:sz="0" w:space="0" w:color="auto"/>
            <w:bottom w:val="none" w:sz="0" w:space="0" w:color="auto"/>
            <w:right w:val="none" w:sz="0" w:space="0" w:color="auto"/>
          </w:tcBorders>
        </w:tcPr>
        <w:p w:rsidR="001B0925" w:rsidRPr="008F5023" w:rsidRDefault="001B0925" w:rsidP="00084F78">
          <w:pPr>
            <w:pStyle w:val="En-tte"/>
            <w:tabs>
              <w:tab w:val="clear" w:pos="4536"/>
              <w:tab w:val="clear" w:pos="9072"/>
            </w:tabs>
            <w:ind w:left="567" w:right="4369"/>
            <w:rPr>
              <w:rFonts w:asciiTheme="minorHAnsi" w:hAnsiTheme="minorHAnsi" w:cs="Times New Roman"/>
              <w:b w:val="0"/>
              <w:color w:val="FFFFFF" w:themeColor="background1"/>
              <w:sz w:val="36"/>
              <w:szCs w:val="36"/>
            </w:rPr>
          </w:pPr>
          <w:r>
            <w:rPr>
              <w:noProof/>
              <w:lang w:eastAsia="fr-CH"/>
            </w:rPr>
            <w:drawing>
              <wp:anchor distT="0" distB="0" distL="114300" distR="114300" simplePos="0" relativeHeight="251658240" behindDoc="1" locked="0" layoutInCell="1" allowOverlap="1" wp14:anchorId="4E8654BE" wp14:editId="126DD49E">
                <wp:simplePos x="0" y="0"/>
                <wp:positionH relativeFrom="column">
                  <wp:posOffset>28425</wp:posOffset>
                </wp:positionH>
                <wp:positionV relativeFrom="paragraph">
                  <wp:posOffset>73547</wp:posOffset>
                </wp:positionV>
                <wp:extent cx="5376707" cy="122308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387389" cy="1225513"/>
                        </a:xfrm>
                        <a:prstGeom prst="rect">
                          <a:avLst/>
                        </a:prstGeom>
                      </pic:spPr>
                    </pic:pic>
                  </a:graphicData>
                </a:graphic>
                <wp14:sizeRelH relativeFrom="page">
                  <wp14:pctWidth>0</wp14:pctWidth>
                </wp14:sizeRelH>
                <wp14:sizeRelV relativeFrom="page">
                  <wp14:pctHeight>0</wp14:pctHeight>
                </wp14:sizeRelV>
              </wp:anchor>
            </w:drawing>
          </w:r>
          <w:sdt>
            <w:sdtPr>
              <w:rPr>
                <w:rFonts w:cs="Times New Roman"/>
                <w:color w:val="FFFFFF" w:themeColor="background1"/>
                <w:sz w:val="72"/>
                <w:szCs w:val="72"/>
              </w:rPr>
              <w:id w:val="506266360"/>
              <w:docPartObj>
                <w:docPartGallery w:val="Page Numbers (Margins)"/>
                <w:docPartUnique/>
              </w:docPartObj>
            </w:sdtPr>
            <w:sdtEndPr/>
            <w:sdtContent/>
          </w:sdt>
          <w:sdt>
            <w:sdtPr>
              <w:rPr>
                <w:rFonts w:cs="Times New Roman"/>
                <w:color w:val="FFFFFF" w:themeColor="background1"/>
                <w:sz w:val="72"/>
                <w:szCs w:val="72"/>
              </w:rPr>
              <w:alias w:val="Titre"/>
              <w:id w:val="832801300"/>
              <w:dataBinding w:prefixMappings="xmlns:ns0='http://schemas.openxmlformats.org/package/2006/metadata/core-properties' xmlns:ns1='http://purl.org/dc/elements/1.1/'" w:xpath="/ns0:coreProperties[1]/ns1:title[1]" w:storeItemID="{6C3C8BC8-F283-45AE-878A-BAB7291924A1}"/>
              <w:text/>
            </w:sdtPr>
            <w:sdtEndPr/>
            <w:sdtContent>
              <w:r>
                <w:rPr>
                  <w:rFonts w:cs="Times New Roman"/>
                  <w:color w:val="FFFFFF" w:themeColor="background1"/>
                  <w:sz w:val="72"/>
                  <w:szCs w:val="72"/>
                </w:rPr>
                <w:t>info    CCIH</w:t>
              </w:r>
            </w:sdtContent>
          </w:sdt>
        </w:p>
      </w:tc>
      <w:tc>
        <w:tcPr>
          <w:tcW w:w="1508" w:type="dxa"/>
          <w:tcBorders>
            <w:top w:val="none" w:sz="0" w:space="0" w:color="auto"/>
            <w:left w:val="none" w:sz="0" w:space="0" w:color="auto"/>
            <w:bottom w:val="none" w:sz="0" w:space="0" w:color="auto"/>
            <w:right w:val="none" w:sz="0" w:space="0" w:color="auto"/>
          </w:tcBorders>
          <w:shd w:val="pct12" w:color="943634" w:themeColor="accent2" w:themeShade="BF" w:fill="943634" w:themeFill="accent2" w:themeFillShade="BF"/>
        </w:tcPr>
        <w:p w:rsidR="001B0925" w:rsidRPr="008F5023" w:rsidRDefault="001B0925" w:rsidP="00702778">
          <w:pPr>
            <w:pStyle w:val="En-tte"/>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FFFFFF" w:themeColor="background1"/>
              <w:sz w:val="36"/>
              <w:szCs w:val="36"/>
              <w14:numForm w14:val="oldStyle"/>
            </w:rPr>
          </w:pPr>
          <w:r>
            <w:rPr>
              <w:rFonts w:asciiTheme="minorHAnsi" w:hAnsiTheme="minorHAnsi" w:cs="Times New Roman"/>
              <w:b w:val="0"/>
              <w:bCs w:val="0"/>
              <w:color w:val="FFFFFF" w:themeColor="background1"/>
              <w:sz w:val="36"/>
              <w:szCs w:val="36"/>
              <w14:numForm w14:val="oldStyle"/>
            </w:rPr>
            <w:t>mars 2020</w:t>
          </w:r>
        </w:p>
      </w:tc>
    </w:tr>
  </w:tbl>
  <w:p w:rsidR="001B0925" w:rsidRDefault="001B0925">
    <w:pPr>
      <w:pStyle w:val="En-tte"/>
    </w:pPr>
  </w:p>
  <w:p w:rsidR="001B0925" w:rsidRPr="00E32568" w:rsidRDefault="001B0925" w:rsidP="002C4375">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D94"/>
    <w:multiLevelType w:val="hybridMultilevel"/>
    <w:tmpl w:val="47DA032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048939A3"/>
    <w:multiLevelType w:val="hybridMultilevel"/>
    <w:tmpl w:val="D16214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2F1696C"/>
    <w:multiLevelType w:val="hybridMultilevel"/>
    <w:tmpl w:val="1DC45436"/>
    <w:lvl w:ilvl="0" w:tplc="A6D24002">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D655E5D"/>
    <w:multiLevelType w:val="hybridMultilevel"/>
    <w:tmpl w:val="5866C1F0"/>
    <w:lvl w:ilvl="0" w:tplc="F216FD4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8431512"/>
    <w:multiLevelType w:val="hybridMultilevel"/>
    <w:tmpl w:val="588EC724"/>
    <w:lvl w:ilvl="0" w:tplc="F97E0D52">
      <w:start w:val="1"/>
      <w:numFmt w:val="bullet"/>
      <w:lvlText w:val="-"/>
      <w:lvlJc w:val="left"/>
      <w:pPr>
        <w:ind w:left="1222" w:hanging="360"/>
      </w:pPr>
      <w:rPr>
        <w:rFonts w:ascii="Calibri" w:eastAsiaTheme="minorHAnsi" w:hAnsi="Calibri" w:cs="Calibri" w:hint="default"/>
      </w:rPr>
    </w:lvl>
    <w:lvl w:ilvl="1" w:tplc="100C0003" w:tentative="1">
      <w:start w:val="1"/>
      <w:numFmt w:val="bullet"/>
      <w:lvlText w:val="o"/>
      <w:lvlJc w:val="left"/>
      <w:pPr>
        <w:ind w:left="1942" w:hanging="360"/>
      </w:pPr>
      <w:rPr>
        <w:rFonts w:ascii="Courier New" w:hAnsi="Courier New" w:cs="Courier New" w:hint="default"/>
      </w:rPr>
    </w:lvl>
    <w:lvl w:ilvl="2" w:tplc="100C0005" w:tentative="1">
      <w:start w:val="1"/>
      <w:numFmt w:val="bullet"/>
      <w:lvlText w:val=""/>
      <w:lvlJc w:val="left"/>
      <w:pPr>
        <w:ind w:left="2662" w:hanging="360"/>
      </w:pPr>
      <w:rPr>
        <w:rFonts w:ascii="Wingdings" w:hAnsi="Wingdings" w:hint="default"/>
      </w:rPr>
    </w:lvl>
    <w:lvl w:ilvl="3" w:tplc="100C0001" w:tentative="1">
      <w:start w:val="1"/>
      <w:numFmt w:val="bullet"/>
      <w:lvlText w:val=""/>
      <w:lvlJc w:val="left"/>
      <w:pPr>
        <w:ind w:left="3382" w:hanging="360"/>
      </w:pPr>
      <w:rPr>
        <w:rFonts w:ascii="Symbol" w:hAnsi="Symbol" w:hint="default"/>
      </w:rPr>
    </w:lvl>
    <w:lvl w:ilvl="4" w:tplc="100C0003" w:tentative="1">
      <w:start w:val="1"/>
      <w:numFmt w:val="bullet"/>
      <w:lvlText w:val="o"/>
      <w:lvlJc w:val="left"/>
      <w:pPr>
        <w:ind w:left="4102" w:hanging="360"/>
      </w:pPr>
      <w:rPr>
        <w:rFonts w:ascii="Courier New" w:hAnsi="Courier New" w:cs="Courier New" w:hint="default"/>
      </w:rPr>
    </w:lvl>
    <w:lvl w:ilvl="5" w:tplc="100C0005" w:tentative="1">
      <w:start w:val="1"/>
      <w:numFmt w:val="bullet"/>
      <w:lvlText w:val=""/>
      <w:lvlJc w:val="left"/>
      <w:pPr>
        <w:ind w:left="4822" w:hanging="360"/>
      </w:pPr>
      <w:rPr>
        <w:rFonts w:ascii="Wingdings" w:hAnsi="Wingdings" w:hint="default"/>
      </w:rPr>
    </w:lvl>
    <w:lvl w:ilvl="6" w:tplc="100C0001" w:tentative="1">
      <w:start w:val="1"/>
      <w:numFmt w:val="bullet"/>
      <w:lvlText w:val=""/>
      <w:lvlJc w:val="left"/>
      <w:pPr>
        <w:ind w:left="5542" w:hanging="360"/>
      </w:pPr>
      <w:rPr>
        <w:rFonts w:ascii="Symbol" w:hAnsi="Symbol" w:hint="default"/>
      </w:rPr>
    </w:lvl>
    <w:lvl w:ilvl="7" w:tplc="100C0003" w:tentative="1">
      <w:start w:val="1"/>
      <w:numFmt w:val="bullet"/>
      <w:lvlText w:val="o"/>
      <w:lvlJc w:val="left"/>
      <w:pPr>
        <w:ind w:left="6262" w:hanging="360"/>
      </w:pPr>
      <w:rPr>
        <w:rFonts w:ascii="Courier New" w:hAnsi="Courier New" w:cs="Courier New" w:hint="default"/>
      </w:rPr>
    </w:lvl>
    <w:lvl w:ilvl="8" w:tplc="100C0005" w:tentative="1">
      <w:start w:val="1"/>
      <w:numFmt w:val="bullet"/>
      <w:lvlText w:val=""/>
      <w:lvlJc w:val="left"/>
      <w:pPr>
        <w:ind w:left="6982" w:hanging="360"/>
      </w:pPr>
      <w:rPr>
        <w:rFonts w:ascii="Wingdings" w:hAnsi="Wingdings" w:hint="default"/>
      </w:rPr>
    </w:lvl>
  </w:abstractNum>
  <w:abstractNum w:abstractNumId="5" w15:restartNumberingAfterBreak="0">
    <w:nsid w:val="4E3C0EB3"/>
    <w:multiLevelType w:val="hybridMultilevel"/>
    <w:tmpl w:val="61B4B1CA"/>
    <w:lvl w:ilvl="0" w:tplc="0B38CF26">
      <w:numFmt w:val="bullet"/>
      <w:lvlText w:val="-"/>
      <w:lvlJc w:val="left"/>
      <w:pPr>
        <w:ind w:left="786" w:hanging="360"/>
      </w:pPr>
      <w:rPr>
        <w:rFonts w:ascii="Calibri" w:eastAsiaTheme="minorHAnsi" w:hAnsi="Calibri" w:cs="Calibri"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6" w15:restartNumberingAfterBreak="0">
    <w:nsid w:val="5AA12E88"/>
    <w:multiLevelType w:val="hybridMultilevel"/>
    <w:tmpl w:val="C76881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BC424C6"/>
    <w:multiLevelType w:val="hybridMultilevel"/>
    <w:tmpl w:val="15C82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8222292"/>
    <w:multiLevelType w:val="hybridMultilevel"/>
    <w:tmpl w:val="4D9CEB18"/>
    <w:lvl w:ilvl="0" w:tplc="1FBCC1AA">
      <w:start w:val="2"/>
      <w:numFmt w:val="bullet"/>
      <w:lvlText w:val="-"/>
      <w:lvlJc w:val="left"/>
      <w:pPr>
        <w:ind w:left="1069" w:hanging="360"/>
      </w:pPr>
      <w:rPr>
        <w:rFonts w:ascii="Calibri" w:eastAsiaTheme="minorHAnsi" w:hAnsi="Calibri" w:cs="Calibri"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9" w15:restartNumberingAfterBreak="0">
    <w:nsid w:val="69953AD0"/>
    <w:multiLevelType w:val="hybridMultilevel"/>
    <w:tmpl w:val="21263B52"/>
    <w:lvl w:ilvl="0" w:tplc="100C0001">
      <w:start w:val="1"/>
      <w:numFmt w:val="bullet"/>
      <w:lvlText w:val=""/>
      <w:lvlJc w:val="left"/>
      <w:pPr>
        <w:ind w:left="753" w:hanging="360"/>
      </w:pPr>
      <w:rPr>
        <w:rFonts w:ascii="Symbol" w:hAnsi="Symbol" w:hint="default"/>
      </w:rPr>
    </w:lvl>
    <w:lvl w:ilvl="1" w:tplc="100C0003" w:tentative="1">
      <w:start w:val="1"/>
      <w:numFmt w:val="bullet"/>
      <w:lvlText w:val="o"/>
      <w:lvlJc w:val="left"/>
      <w:pPr>
        <w:ind w:left="1473" w:hanging="360"/>
      </w:pPr>
      <w:rPr>
        <w:rFonts w:ascii="Courier New" w:hAnsi="Courier New" w:cs="Courier New" w:hint="default"/>
      </w:rPr>
    </w:lvl>
    <w:lvl w:ilvl="2" w:tplc="100C0005" w:tentative="1">
      <w:start w:val="1"/>
      <w:numFmt w:val="bullet"/>
      <w:lvlText w:val=""/>
      <w:lvlJc w:val="left"/>
      <w:pPr>
        <w:ind w:left="2193" w:hanging="360"/>
      </w:pPr>
      <w:rPr>
        <w:rFonts w:ascii="Wingdings" w:hAnsi="Wingdings" w:hint="default"/>
      </w:rPr>
    </w:lvl>
    <w:lvl w:ilvl="3" w:tplc="100C0001" w:tentative="1">
      <w:start w:val="1"/>
      <w:numFmt w:val="bullet"/>
      <w:lvlText w:val=""/>
      <w:lvlJc w:val="left"/>
      <w:pPr>
        <w:ind w:left="2913" w:hanging="360"/>
      </w:pPr>
      <w:rPr>
        <w:rFonts w:ascii="Symbol" w:hAnsi="Symbol" w:hint="default"/>
      </w:rPr>
    </w:lvl>
    <w:lvl w:ilvl="4" w:tplc="100C0003" w:tentative="1">
      <w:start w:val="1"/>
      <w:numFmt w:val="bullet"/>
      <w:lvlText w:val="o"/>
      <w:lvlJc w:val="left"/>
      <w:pPr>
        <w:ind w:left="3633" w:hanging="360"/>
      </w:pPr>
      <w:rPr>
        <w:rFonts w:ascii="Courier New" w:hAnsi="Courier New" w:cs="Courier New" w:hint="default"/>
      </w:rPr>
    </w:lvl>
    <w:lvl w:ilvl="5" w:tplc="100C0005" w:tentative="1">
      <w:start w:val="1"/>
      <w:numFmt w:val="bullet"/>
      <w:lvlText w:val=""/>
      <w:lvlJc w:val="left"/>
      <w:pPr>
        <w:ind w:left="4353" w:hanging="360"/>
      </w:pPr>
      <w:rPr>
        <w:rFonts w:ascii="Wingdings" w:hAnsi="Wingdings" w:hint="default"/>
      </w:rPr>
    </w:lvl>
    <w:lvl w:ilvl="6" w:tplc="100C0001" w:tentative="1">
      <w:start w:val="1"/>
      <w:numFmt w:val="bullet"/>
      <w:lvlText w:val=""/>
      <w:lvlJc w:val="left"/>
      <w:pPr>
        <w:ind w:left="5073" w:hanging="360"/>
      </w:pPr>
      <w:rPr>
        <w:rFonts w:ascii="Symbol" w:hAnsi="Symbol" w:hint="default"/>
      </w:rPr>
    </w:lvl>
    <w:lvl w:ilvl="7" w:tplc="100C0003" w:tentative="1">
      <w:start w:val="1"/>
      <w:numFmt w:val="bullet"/>
      <w:lvlText w:val="o"/>
      <w:lvlJc w:val="left"/>
      <w:pPr>
        <w:ind w:left="5793" w:hanging="360"/>
      </w:pPr>
      <w:rPr>
        <w:rFonts w:ascii="Courier New" w:hAnsi="Courier New" w:cs="Courier New" w:hint="default"/>
      </w:rPr>
    </w:lvl>
    <w:lvl w:ilvl="8" w:tplc="100C0005" w:tentative="1">
      <w:start w:val="1"/>
      <w:numFmt w:val="bullet"/>
      <w:lvlText w:val=""/>
      <w:lvlJc w:val="left"/>
      <w:pPr>
        <w:ind w:left="6513" w:hanging="360"/>
      </w:pPr>
      <w:rPr>
        <w:rFonts w:ascii="Wingdings" w:hAnsi="Wingdings" w:hint="default"/>
      </w:rPr>
    </w:lvl>
  </w:abstractNum>
  <w:abstractNum w:abstractNumId="10" w15:restartNumberingAfterBreak="0">
    <w:nsid w:val="6D78736D"/>
    <w:multiLevelType w:val="hybridMultilevel"/>
    <w:tmpl w:val="ED64C2C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4"/>
  </w:num>
  <w:num w:numId="6">
    <w:abstractNumId w:val="8"/>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16"/>
    <w:rsid w:val="00013614"/>
    <w:rsid w:val="00014D13"/>
    <w:rsid w:val="00025165"/>
    <w:rsid w:val="000300D2"/>
    <w:rsid w:val="00042345"/>
    <w:rsid w:val="0006658F"/>
    <w:rsid w:val="00066C86"/>
    <w:rsid w:val="00084F78"/>
    <w:rsid w:val="000B67F9"/>
    <w:rsid w:val="000D4881"/>
    <w:rsid w:val="000F66EC"/>
    <w:rsid w:val="00110C20"/>
    <w:rsid w:val="00132B23"/>
    <w:rsid w:val="00133D29"/>
    <w:rsid w:val="00143677"/>
    <w:rsid w:val="0015024B"/>
    <w:rsid w:val="00151752"/>
    <w:rsid w:val="00160FAA"/>
    <w:rsid w:val="00163A47"/>
    <w:rsid w:val="001644B7"/>
    <w:rsid w:val="00180891"/>
    <w:rsid w:val="001A5E14"/>
    <w:rsid w:val="001B0925"/>
    <w:rsid w:val="001B2287"/>
    <w:rsid w:val="001B7D62"/>
    <w:rsid w:val="001C0665"/>
    <w:rsid w:val="001C783F"/>
    <w:rsid w:val="001E52F2"/>
    <w:rsid w:val="002076F4"/>
    <w:rsid w:val="002215B6"/>
    <w:rsid w:val="0022776F"/>
    <w:rsid w:val="00232ACE"/>
    <w:rsid w:val="00243C17"/>
    <w:rsid w:val="002446F2"/>
    <w:rsid w:val="00257A17"/>
    <w:rsid w:val="002636F4"/>
    <w:rsid w:val="00264285"/>
    <w:rsid w:val="00277885"/>
    <w:rsid w:val="00280C56"/>
    <w:rsid w:val="00282092"/>
    <w:rsid w:val="002823C1"/>
    <w:rsid w:val="002A6C36"/>
    <w:rsid w:val="002C4375"/>
    <w:rsid w:val="0030693B"/>
    <w:rsid w:val="0031116C"/>
    <w:rsid w:val="00311C9C"/>
    <w:rsid w:val="00323358"/>
    <w:rsid w:val="00334802"/>
    <w:rsid w:val="0033549F"/>
    <w:rsid w:val="00336F4C"/>
    <w:rsid w:val="00342488"/>
    <w:rsid w:val="0034521E"/>
    <w:rsid w:val="003452DA"/>
    <w:rsid w:val="003775B7"/>
    <w:rsid w:val="00393108"/>
    <w:rsid w:val="003A1DD6"/>
    <w:rsid w:val="003A61D8"/>
    <w:rsid w:val="003B7A0B"/>
    <w:rsid w:val="003F0916"/>
    <w:rsid w:val="003F2D13"/>
    <w:rsid w:val="003F412B"/>
    <w:rsid w:val="003F5811"/>
    <w:rsid w:val="00402EBA"/>
    <w:rsid w:val="00423644"/>
    <w:rsid w:val="00430B29"/>
    <w:rsid w:val="00435AC7"/>
    <w:rsid w:val="00447442"/>
    <w:rsid w:val="00453D6D"/>
    <w:rsid w:val="00461E30"/>
    <w:rsid w:val="0046707F"/>
    <w:rsid w:val="004950B7"/>
    <w:rsid w:val="00496CB3"/>
    <w:rsid w:val="004A01C6"/>
    <w:rsid w:val="004A72FD"/>
    <w:rsid w:val="0050575F"/>
    <w:rsid w:val="005070B3"/>
    <w:rsid w:val="00507FB3"/>
    <w:rsid w:val="00522EDC"/>
    <w:rsid w:val="00525E10"/>
    <w:rsid w:val="00541369"/>
    <w:rsid w:val="00550B27"/>
    <w:rsid w:val="00555FEC"/>
    <w:rsid w:val="0057478C"/>
    <w:rsid w:val="00594BA0"/>
    <w:rsid w:val="005B79A4"/>
    <w:rsid w:val="005C165A"/>
    <w:rsid w:val="005C45EB"/>
    <w:rsid w:val="005C63B5"/>
    <w:rsid w:val="005E108E"/>
    <w:rsid w:val="005F7DFF"/>
    <w:rsid w:val="00603E16"/>
    <w:rsid w:val="00623BBE"/>
    <w:rsid w:val="00624838"/>
    <w:rsid w:val="00635D5D"/>
    <w:rsid w:val="0067289E"/>
    <w:rsid w:val="006730FF"/>
    <w:rsid w:val="0067544A"/>
    <w:rsid w:val="00684F1A"/>
    <w:rsid w:val="00687DDE"/>
    <w:rsid w:val="006A60E5"/>
    <w:rsid w:val="006A79E6"/>
    <w:rsid w:val="006B633F"/>
    <w:rsid w:val="006C6036"/>
    <w:rsid w:val="006E3282"/>
    <w:rsid w:val="006E34A3"/>
    <w:rsid w:val="006E65D3"/>
    <w:rsid w:val="00702778"/>
    <w:rsid w:val="00702F33"/>
    <w:rsid w:val="00725FBB"/>
    <w:rsid w:val="00741082"/>
    <w:rsid w:val="00743601"/>
    <w:rsid w:val="007444CF"/>
    <w:rsid w:val="007504B9"/>
    <w:rsid w:val="00751274"/>
    <w:rsid w:val="00751D5F"/>
    <w:rsid w:val="0076419E"/>
    <w:rsid w:val="00770766"/>
    <w:rsid w:val="007B084B"/>
    <w:rsid w:val="007B15EC"/>
    <w:rsid w:val="007B3816"/>
    <w:rsid w:val="007C0370"/>
    <w:rsid w:val="007C36D2"/>
    <w:rsid w:val="007C4B12"/>
    <w:rsid w:val="007E29C4"/>
    <w:rsid w:val="007F4CB5"/>
    <w:rsid w:val="0081042E"/>
    <w:rsid w:val="00822A79"/>
    <w:rsid w:val="00845726"/>
    <w:rsid w:val="00860513"/>
    <w:rsid w:val="00860BB1"/>
    <w:rsid w:val="00875A7A"/>
    <w:rsid w:val="00882971"/>
    <w:rsid w:val="00887E0E"/>
    <w:rsid w:val="008A3119"/>
    <w:rsid w:val="008A44AC"/>
    <w:rsid w:val="008A7B25"/>
    <w:rsid w:val="008B1824"/>
    <w:rsid w:val="008B6933"/>
    <w:rsid w:val="008C0D01"/>
    <w:rsid w:val="008C192B"/>
    <w:rsid w:val="008D04CC"/>
    <w:rsid w:val="008D14C7"/>
    <w:rsid w:val="008F5023"/>
    <w:rsid w:val="008F7C58"/>
    <w:rsid w:val="009028CA"/>
    <w:rsid w:val="00902C20"/>
    <w:rsid w:val="00925B49"/>
    <w:rsid w:val="00925E3A"/>
    <w:rsid w:val="009260F2"/>
    <w:rsid w:val="00926308"/>
    <w:rsid w:val="00930ED6"/>
    <w:rsid w:val="00936EDB"/>
    <w:rsid w:val="00957263"/>
    <w:rsid w:val="009607B9"/>
    <w:rsid w:val="0097093B"/>
    <w:rsid w:val="00975206"/>
    <w:rsid w:val="00984D04"/>
    <w:rsid w:val="009B18FC"/>
    <w:rsid w:val="009D0984"/>
    <w:rsid w:val="00A00A02"/>
    <w:rsid w:val="00A02D57"/>
    <w:rsid w:val="00A0631A"/>
    <w:rsid w:val="00A1760C"/>
    <w:rsid w:val="00A24372"/>
    <w:rsid w:val="00A26FC1"/>
    <w:rsid w:val="00A557D9"/>
    <w:rsid w:val="00A624B8"/>
    <w:rsid w:val="00A80348"/>
    <w:rsid w:val="00A86CE5"/>
    <w:rsid w:val="00A97FC8"/>
    <w:rsid w:val="00AD0194"/>
    <w:rsid w:val="00AD1C3A"/>
    <w:rsid w:val="00AE766D"/>
    <w:rsid w:val="00B01322"/>
    <w:rsid w:val="00B022FD"/>
    <w:rsid w:val="00B32ACA"/>
    <w:rsid w:val="00B36A4D"/>
    <w:rsid w:val="00B37093"/>
    <w:rsid w:val="00B42582"/>
    <w:rsid w:val="00B50C56"/>
    <w:rsid w:val="00BA443C"/>
    <w:rsid w:val="00BA4944"/>
    <w:rsid w:val="00BB102B"/>
    <w:rsid w:val="00BE3615"/>
    <w:rsid w:val="00C0323C"/>
    <w:rsid w:val="00C172DB"/>
    <w:rsid w:val="00C2388E"/>
    <w:rsid w:val="00C37144"/>
    <w:rsid w:val="00C41D05"/>
    <w:rsid w:val="00C81BCF"/>
    <w:rsid w:val="00CA3373"/>
    <w:rsid w:val="00CB6CD4"/>
    <w:rsid w:val="00CD3480"/>
    <w:rsid w:val="00CE5C74"/>
    <w:rsid w:val="00CF24D7"/>
    <w:rsid w:val="00CF6A8E"/>
    <w:rsid w:val="00D314E5"/>
    <w:rsid w:val="00D35A49"/>
    <w:rsid w:val="00D52902"/>
    <w:rsid w:val="00D57781"/>
    <w:rsid w:val="00D61574"/>
    <w:rsid w:val="00D64E53"/>
    <w:rsid w:val="00D75C68"/>
    <w:rsid w:val="00D90C00"/>
    <w:rsid w:val="00D94A50"/>
    <w:rsid w:val="00DB4433"/>
    <w:rsid w:val="00DB59A1"/>
    <w:rsid w:val="00DC16DC"/>
    <w:rsid w:val="00DC42A3"/>
    <w:rsid w:val="00DD6C41"/>
    <w:rsid w:val="00E06A67"/>
    <w:rsid w:val="00E30CFD"/>
    <w:rsid w:val="00E32568"/>
    <w:rsid w:val="00E366E5"/>
    <w:rsid w:val="00E40A1C"/>
    <w:rsid w:val="00E41F30"/>
    <w:rsid w:val="00E52971"/>
    <w:rsid w:val="00E62637"/>
    <w:rsid w:val="00E7408B"/>
    <w:rsid w:val="00E77E95"/>
    <w:rsid w:val="00EA7C61"/>
    <w:rsid w:val="00EB7C56"/>
    <w:rsid w:val="00EC2C9B"/>
    <w:rsid w:val="00ED02B1"/>
    <w:rsid w:val="00ED6CB3"/>
    <w:rsid w:val="00ED7877"/>
    <w:rsid w:val="00ED79AD"/>
    <w:rsid w:val="00EF00CB"/>
    <w:rsid w:val="00EF489D"/>
    <w:rsid w:val="00F00C26"/>
    <w:rsid w:val="00F0563E"/>
    <w:rsid w:val="00F070A8"/>
    <w:rsid w:val="00F200EC"/>
    <w:rsid w:val="00F30214"/>
    <w:rsid w:val="00F3303A"/>
    <w:rsid w:val="00F4312D"/>
    <w:rsid w:val="00F73DF1"/>
    <w:rsid w:val="00F7641A"/>
    <w:rsid w:val="00F85016"/>
    <w:rsid w:val="00F95449"/>
    <w:rsid w:val="00F96F07"/>
    <w:rsid w:val="00FB648F"/>
    <w:rsid w:val="00FB7F57"/>
    <w:rsid w:val="00FC1127"/>
    <w:rsid w:val="00FE6617"/>
    <w:rsid w:val="00FE6B46"/>
    <w:rsid w:val="00FF06CE"/>
    <w:rsid w:val="00FF4A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62B1A"/>
  <w15:docId w15:val="{B3227505-A030-4AEC-9906-AB07B20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3E16"/>
    <w:pPr>
      <w:autoSpaceDE w:val="0"/>
      <w:autoSpaceDN w:val="0"/>
      <w:adjustRightInd w:val="0"/>
      <w:spacing w:after="0" w:line="240" w:lineRule="auto"/>
    </w:pPr>
    <w:rPr>
      <w:rFonts w:ascii="Stone Sans II ITC Std" w:hAnsi="Stone Sans II ITC Std" w:cs="Stone Sans II ITC Std"/>
      <w:color w:val="000000"/>
      <w:sz w:val="24"/>
      <w:szCs w:val="24"/>
    </w:rPr>
  </w:style>
  <w:style w:type="paragraph" w:customStyle="1" w:styleId="Pa1">
    <w:name w:val="Pa1"/>
    <w:basedOn w:val="Default"/>
    <w:next w:val="Default"/>
    <w:uiPriority w:val="99"/>
    <w:rsid w:val="00603E16"/>
    <w:pPr>
      <w:spacing w:line="241" w:lineRule="atLeast"/>
    </w:pPr>
    <w:rPr>
      <w:rFonts w:cstheme="minorBidi"/>
      <w:color w:val="auto"/>
    </w:rPr>
  </w:style>
  <w:style w:type="character" w:customStyle="1" w:styleId="A2">
    <w:name w:val="A2"/>
    <w:uiPriority w:val="99"/>
    <w:rsid w:val="00603E16"/>
    <w:rPr>
      <w:rFonts w:cs="Stone Sans II ITC Std"/>
      <w:color w:val="221E1F"/>
      <w:sz w:val="19"/>
      <w:szCs w:val="19"/>
    </w:rPr>
  </w:style>
  <w:style w:type="paragraph" w:styleId="Textedebulles">
    <w:name w:val="Balloon Text"/>
    <w:basedOn w:val="Normal"/>
    <w:link w:val="TextedebullesCar"/>
    <w:uiPriority w:val="99"/>
    <w:semiHidden/>
    <w:unhideWhenUsed/>
    <w:rsid w:val="00603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E16"/>
    <w:rPr>
      <w:rFonts w:ascii="Tahoma" w:hAnsi="Tahoma" w:cs="Tahoma"/>
      <w:sz w:val="16"/>
      <w:szCs w:val="16"/>
    </w:rPr>
  </w:style>
  <w:style w:type="paragraph" w:styleId="En-tte">
    <w:name w:val="header"/>
    <w:basedOn w:val="Normal"/>
    <w:link w:val="En-tteCar"/>
    <w:uiPriority w:val="99"/>
    <w:unhideWhenUsed/>
    <w:rsid w:val="00603E16"/>
    <w:pPr>
      <w:tabs>
        <w:tab w:val="center" w:pos="4536"/>
        <w:tab w:val="right" w:pos="9072"/>
      </w:tabs>
      <w:spacing w:after="0" w:line="240" w:lineRule="auto"/>
    </w:pPr>
  </w:style>
  <w:style w:type="character" w:customStyle="1" w:styleId="En-tteCar">
    <w:name w:val="En-tête Car"/>
    <w:basedOn w:val="Policepardfaut"/>
    <w:link w:val="En-tte"/>
    <w:uiPriority w:val="99"/>
    <w:rsid w:val="00603E16"/>
  </w:style>
  <w:style w:type="paragraph" w:styleId="Pieddepage">
    <w:name w:val="footer"/>
    <w:basedOn w:val="Normal"/>
    <w:link w:val="PieddepageCar"/>
    <w:uiPriority w:val="99"/>
    <w:unhideWhenUsed/>
    <w:rsid w:val="00603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E16"/>
  </w:style>
  <w:style w:type="table" w:styleId="Trameclaire-Accent2">
    <w:name w:val="Light Shading Accent 2"/>
    <w:basedOn w:val="TableauNormal"/>
    <w:uiPriority w:val="60"/>
    <w:rsid w:val="003A61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enhypertexte">
    <w:name w:val="Hyperlink"/>
    <w:basedOn w:val="Policepardfaut"/>
    <w:uiPriority w:val="99"/>
    <w:unhideWhenUsed/>
    <w:rsid w:val="00280C56"/>
    <w:rPr>
      <w:color w:val="0000FF" w:themeColor="hyperlink"/>
      <w:u w:val="single"/>
    </w:rPr>
  </w:style>
  <w:style w:type="table" w:styleId="Tramemoyenne1-Accent2">
    <w:name w:val="Medium Shading 1 Accent 2"/>
    <w:basedOn w:val="TableauNormal"/>
    <w:uiPriority w:val="63"/>
    <w:rsid w:val="00CF6A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
    <w:name w:val="Light Grid"/>
    <w:basedOn w:val="TableauNormal"/>
    <w:uiPriority w:val="62"/>
    <w:rsid w:val="00CF6A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6">
    <w:name w:val="Light Grid Accent 6"/>
    <w:basedOn w:val="TableauNormal"/>
    <w:uiPriority w:val="62"/>
    <w:rsid w:val="00461E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laire-Accent2">
    <w:name w:val="Light Grid Accent 2"/>
    <w:basedOn w:val="TableauNormal"/>
    <w:uiPriority w:val="62"/>
    <w:rsid w:val="008C19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dutableau">
    <w:name w:val="Table Grid"/>
    <w:basedOn w:val="TableauNormal"/>
    <w:uiPriority w:val="59"/>
    <w:rsid w:val="00FF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06CE"/>
    <w:pPr>
      <w:ind w:left="720"/>
      <w:contextualSpacing/>
    </w:pPr>
  </w:style>
  <w:style w:type="table" w:styleId="Listeclaire-Accent2">
    <w:name w:val="Light List Accent 2"/>
    <w:basedOn w:val="TableauNormal"/>
    <w:uiPriority w:val="61"/>
    <w:rsid w:val="00FF06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umrodepage">
    <w:name w:val="page number"/>
    <w:basedOn w:val="Policepardfaut"/>
    <w:uiPriority w:val="99"/>
    <w:unhideWhenUsed/>
    <w:rsid w:val="002215B6"/>
  </w:style>
  <w:style w:type="character" w:customStyle="1" w:styleId="menublacknormal1">
    <w:name w:val="menublacknormal1"/>
    <w:basedOn w:val="Policepardfaut"/>
    <w:rsid w:val="00CF24D7"/>
    <w:rPr>
      <w:rFonts w:ascii="Verdana" w:hAnsi="Verdana" w:hint="default"/>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503">
      <w:bodyDiv w:val="1"/>
      <w:marLeft w:val="0"/>
      <w:marRight w:val="0"/>
      <w:marTop w:val="0"/>
      <w:marBottom w:val="0"/>
      <w:divBdr>
        <w:top w:val="none" w:sz="0" w:space="0" w:color="auto"/>
        <w:left w:val="none" w:sz="0" w:space="0" w:color="auto"/>
        <w:bottom w:val="none" w:sz="0" w:space="0" w:color="auto"/>
        <w:right w:val="none" w:sz="0" w:space="0" w:color="auto"/>
      </w:divBdr>
    </w:div>
    <w:div w:id="1240286240">
      <w:bodyDiv w:val="1"/>
      <w:marLeft w:val="0"/>
      <w:marRight w:val="0"/>
      <w:marTop w:val="0"/>
      <w:marBottom w:val="0"/>
      <w:divBdr>
        <w:top w:val="none" w:sz="0" w:space="0" w:color="auto"/>
        <w:left w:val="none" w:sz="0" w:space="0" w:color="auto"/>
        <w:bottom w:val="none" w:sz="0" w:space="0" w:color="auto"/>
        <w:right w:val="none" w:sz="0" w:space="0" w:color="auto"/>
      </w:divBdr>
    </w:div>
    <w:div w:id="1530023747">
      <w:bodyDiv w:val="1"/>
      <w:marLeft w:val="0"/>
      <w:marRight w:val="0"/>
      <w:marTop w:val="0"/>
      <w:marBottom w:val="0"/>
      <w:divBdr>
        <w:top w:val="none" w:sz="0" w:space="0" w:color="auto"/>
        <w:left w:val="none" w:sz="0" w:space="0" w:color="auto"/>
        <w:bottom w:val="none" w:sz="0" w:space="0" w:color="auto"/>
        <w:right w:val="none" w:sz="0" w:space="0" w:color="auto"/>
      </w:divBdr>
    </w:div>
    <w:div w:id="16685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8E9E1-8123-43B8-BAE9-5CF20F94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info    CCIH</vt:lpstr>
    </vt:vector>
  </TitlesOfParts>
  <Company>HEBERGEMENT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CCIH</dc:title>
  <dc:creator>Utilisateur</dc:creator>
  <cp:lastModifiedBy>Raymonde SINGELE</cp:lastModifiedBy>
  <cp:revision>3</cp:revision>
  <cp:lastPrinted>2019-05-15T10:48:00Z</cp:lastPrinted>
  <dcterms:created xsi:type="dcterms:W3CDTF">2020-03-30T11:07:00Z</dcterms:created>
  <dcterms:modified xsi:type="dcterms:W3CDTF">2020-03-30T11:33:00Z</dcterms:modified>
</cp:coreProperties>
</file>